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42" w:rsidRDefault="00212442">
      <w:pPr>
        <w:pStyle w:val="a3"/>
        <w:spacing w:before="3"/>
        <w:ind w:left="0"/>
        <w:jc w:val="left"/>
        <w:rPr>
          <w:sz w:val="20"/>
        </w:rPr>
      </w:pPr>
      <w:bookmarkStart w:id="0" w:name="_GoBack"/>
      <w:bookmarkEnd w:id="0"/>
    </w:p>
    <w:p w:rsidR="00212442" w:rsidRDefault="003C4775">
      <w:pPr>
        <w:pStyle w:val="a3"/>
        <w:spacing w:before="90"/>
        <w:ind w:left="0" w:right="285"/>
        <w:jc w:val="right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-147870</wp:posOffset>
            </wp:positionV>
            <wp:extent cx="790685" cy="7906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106576_1281112</w:t>
      </w:r>
    </w:p>
    <w:p w:rsidR="00212442" w:rsidRDefault="00212442">
      <w:pPr>
        <w:pStyle w:val="a3"/>
        <w:ind w:left="0"/>
        <w:jc w:val="left"/>
        <w:rPr>
          <w:sz w:val="20"/>
        </w:rPr>
      </w:pPr>
    </w:p>
    <w:p w:rsidR="00212442" w:rsidRDefault="00212442">
      <w:pPr>
        <w:pStyle w:val="a3"/>
        <w:ind w:left="0"/>
        <w:jc w:val="left"/>
        <w:rPr>
          <w:sz w:val="20"/>
        </w:rPr>
      </w:pPr>
    </w:p>
    <w:p w:rsidR="00212442" w:rsidRDefault="003C4775">
      <w:pPr>
        <w:pStyle w:val="a3"/>
        <w:ind w:left="0"/>
        <w:jc w:val="left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3658890</wp:posOffset>
            </wp:positionH>
            <wp:positionV relativeFrom="paragraph">
              <wp:posOffset>127063</wp:posOffset>
            </wp:positionV>
            <wp:extent cx="517332" cy="5760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3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442" w:rsidRDefault="003C4775">
      <w:pPr>
        <w:spacing w:line="242" w:lineRule="auto"/>
        <w:ind w:left="3581" w:firstLine="410"/>
        <w:rPr>
          <w:b/>
          <w:sz w:val="36"/>
        </w:rPr>
      </w:pPr>
      <w:r>
        <w:rPr>
          <w:b/>
          <w:sz w:val="36"/>
        </w:rPr>
        <w:t>АРБИТРАЖНЫЙ СУД МОСКОВСКОГО</w:t>
      </w:r>
      <w:r>
        <w:rPr>
          <w:b/>
          <w:spacing w:val="2"/>
          <w:sz w:val="36"/>
        </w:rPr>
        <w:t xml:space="preserve"> </w:t>
      </w:r>
      <w:r>
        <w:rPr>
          <w:b/>
          <w:spacing w:val="-4"/>
          <w:sz w:val="36"/>
        </w:rPr>
        <w:t>ОКРУГА</w:t>
      </w:r>
    </w:p>
    <w:p w:rsidR="00212442" w:rsidRDefault="003C4775">
      <w:pPr>
        <w:pStyle w:val="a3"/>
        <w:spacing w:before="1"/>
        <w:ind w:left="0"/>
        <w:jc w:val="left"/>
        <w:rPr>
          <w:b/>
          <w:sz w:val="19"/>
        </w:rPr>
      </w:pPr>
      <w:r>
        <w:pict>
          <v:group id="_x0000_s1026" style="position:absolute;margin-left:69.55pt;margin-top:13pt;width:477.95pt;height:2.25pt;z-index:-251654144;mso-wrap-distance-left:0;mso-wrap-distance-right:0;mso-position-horizontal-relative:page" coordorigin="1391,260" coordsize="9559,45">
            <v:line id="_x0000_s1028" style="position:absolute" from="1391,297" to="10950,297"/>
            <v:line id="_x0000_s1027" style="position:absolute" from="1391,267" to="10950,267"/>
            <w10:wrap type="topAndBottom" anchorx="page"/>
          </v:group>
        </w:pict>
      </w:r>
    </w:p>
    <w:p w:rsidR="00212442" w:rsidRDefault="003C4775">
      <w:pPr>
        <w:spacing w:line="204" w:lineRule="exact"/>
        <w:ind w:left="2831" w:right="1676"/>
        <w:jc w:val="center"/>
        <w:rPr>
          <w:sz w:val="20"/>
        </w:rPr>
      </w:pPr>
      <w:r>
        <w:rPr>
          <w:spacing w:val="-4"/>
          <w:sz w:val="20"/>
        </w:rPr>
        <w:t>ул.</w:t>
      </w:r>
      <w:r>
        <w:rPr>
          <w:spacing w:val="-7"/>
          <w:sz w:val="20"/>
        </w:rPr>
        <w:t xml:space="preserve"> </w:t>
      </w:r>
      <w:r>
        <w:rPr>
          <w:sz w:val="20"/>
        </w:rPr>
        <w:t>Селезнёвская,</w:t>
      </w:r>
      <w:r>
        <w:rPr>
          <w:spacing w:val="-6"/>
          <w:sz w:val="20"/>
        </w:rPr>
        <w:t xml:space="preserve"> </w:t>
      </w:r>
      <w:r>
        <w:rPr>
          <w:sz w:val="20"/>
        </w:rPr>
        <w:t>д.</w:t>
      </w:r>
      <w:r>
        <w:rPr>
          <w:spacing w:val="-6"/>
          <w:sz w:val="20"/>
        </w:rPr>
        <w:t xml:space="preserve"> </w:t>
      </w:r>
      <w:r>
        <w:rPr>
          <w:sz w:val="20"/>
        </w:rPr>
        <w:t>9,</w:t>
      </w:r>
      <w:r>
        <w:rPr>
          <w:spacing w:val="-5"/>
          <w:sz w:val="20"/>
        </w:rPr>
        <w:t xml:space="preserve"> </w:t>
      </w:r>
      <w:r>
        <w:rPr>
          <w:sz w:val="20"/>
        </w:rPr>
        <w:t>г.</w:t>
      </w:r>
      <w:r>
        <w:rPr>
          <w:spacing w:val="-6"/>
          <w:sz w:val="20"/>
        </w:rPr>
        <w:t xml:space="preserve"> </w:t>
      </w:r>
      <w:r>
        <w:rPr>
          <w:sz w:val="20"/>
        </w:rPr>
        <w:t>Москва,</w:t>
      </w:r>
      <w:r>
        <w:rPr>
          <w:spacing w:val="-6"/>
          <w:sz w:val="20"/>
        </w:rPr>
        <w:t xml:space="preserve"> </w:t>
      </w:r>
      <w:r>
        <w:rPr>
          <w:sz w:val="20"/>
        </w:rPr>
        <w:t>ГСП-4,</w:t>
      </w:r>
      <w:r>
        <w:rPr>
          <w:spacing w:val="-6"/>
          <w:sz w:val="20"/>
        </w:rPr>
        <w:t xml:space="preserve"> </w:t>
      </w:r>
      <w:r>
        <w:rPr>
          <w:sz w:val="20"/>
        </w:rPr>
        <w:t>127994,</w:t>
      </w:r>
    </w:p>
    <w:p w:rsidR="00212442" w:rsidRDefault="003C4775">
      <w:pPr>
        <w:spacing w:before="10"/>
        <w:ind w:left="2835" w:right="1676"/>
        <w:jc w:val="center"/>
        <w:rPr>
          <w:sz w:val="20"/>
        </w:rPr>
      </w:pPr>
      <w:r>
        <w:rPr>
          <w:sz w:val="20"/>
        </w:rPr>
        <w:t xml:space="preserve">официальный сайт: </w:t>
      </w:r>
      <w:hyperlink r:id="rId9">
        <w:r>
          <w:rPr>
            <w:color w:val="0000FF"/>
            <w:sz w:val="20"/>
            <w:u w:val="single" w:color="0000FF"/>
          </w:rPr>
          <w:t>http://www.fasmo.arbitr.ru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e-mail: </w:t>
      </w:r>
      <w:hyperlink r:id="rId10">
        <w:r>
          <w:rPr>
            <w:color w:val="0000FF"/>
            <w:sz w:val="20"/>
            <w:u w:val="single" w:color="0000FF"/>
          </w:rPr>
          <w:t>info@fasmo.arbitr.ru</w:t>
        </w:r>
      </w:hyperlink>
    </w:p>
    <w:p w:rsidR="00212442" w:rsidRDefault="00212442">
      <w:pPr>
        <w:pStyle w:val="a3"/>
        <w:ind w:left="0"/>
        <w:jc w:val="left"/>
        <w:rPr>
          <w:sz w:val="20"/>
        </w:rPr>
      </w:pPr>
    </w:p>
    <w:p w:rsidR="00212442" w:rsidRDefault="00212442">
      <w:pPr>
        <w:pStyle w:val="a3"/>
        <w:ind w:left="0"/>
        <w:jc w:val="left"/>
        <w:rPr>
          <w:sz w:val="20"/>
        </w:rPr>
      </w:pPr>
    </w:p>
    <w:p w:rsidR="00212442" w:rsidRDefault="00212442">
      <w:pPr>
        <w:pStyle w:val="a3"/>
        <w:spacing w:before="10"/>
        <w:ind w:left="0"/>
        <w:jc w:val="left"/>
        <w:rPr>
          <w:sz w:val="27"/>
        </w:rPr>
      </w:pPr>
    </w:p>
    <w:p w:rsidR="00212442" w:rsidRDefault="003C4775">
      <w:pPr>
        <w:pStyle w:val="a3"/>
        <w:spacing w:before="89"/>
        <w:ind w:left="2646" w:right="1676"/>
        <w:jc w:val="center"/>
      </w:pPr>
      <w:r>
        <w:t>ПОСТАНОВЛЕНИЕ</w:t>
      </w:r>
    </w:p>
    <w:p w:rsidR="00212442" w:rsidRDefault="00212442">
      <w:pPr>
        <w:pStyle w:val="a3"/>
        <w:spacing w:before="5"/>
        <w:ind w:left="0"/>
        <w:jc w:val="left"/>
        <w:rPr>
          <w:sz w:val="41"/>
        </w:rPr>
      </w:pPr>
    </w:p>
    <w:p w:rsidR="00212442" w:rsidRDefault="003C4775">
      <w:pPr>
        <w:pStyle w:val="a3"/>
        <w:jc w:val="left"/>
      </w:pPr>
      <w:r>
        <w:t>г. Москва</w:t>
      </w:r>
    </w:p>
    <w:p w:rsidR="00212442" w:rsidRDefault="003C4775">
      <w:pPr>
        <w:pStyle w:val="a3"/>
        <w:tabs>
          <w:tab w:val="left" w:pos="6747"/>
        </w:tabs>
        <w:spacing w:before="166"/>
        <w:jc w:val="left"/>
      </w:pPr>
      <w:r>
        <w:t>18 июля</w:t>
      </w:r>
      <w:r>
        <w:rPr>
          <w:spacing w:val="-4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года</w:t>
      </w:r>
      <w:r>
        <w:tab/>
        <w:t>Дело № А41-15952/17</w:t>
      </w:r>
    </w:p>
    <w:p w:rsidR="00212442" w:rsidRDefault="00212442">
      <w:pPr>
        <w:pStyle w:val="a3"/>
        <w:spacing w:before="4"/>
        <w:ind w:left="0"/>
        <w:jc w:val="left"/>
        <w:rPr>
          <w:sz w:val="41"/>
        </w:rPr>
      </w:pPr>
    </w:p>
    <w:p w:rsidR="00212442" w:rsidRDefault="003C4775">
      <w:pPr>
        <w:pStyle w:val="a3"/>
        <w:spacing w:line="374" w:lineRule="auto"/>
        <w:ind w:right="1813"/>
        <w:jc w:val="left"/>
      </w:pPr>
      <w:r>
        <w:t>Резолютивная часть постановления объявлена 17 июля 2018 года Полный текст постановления изготовлен 18 июля 2018 года</w:t>
      </w:r>
    </w:p>
    <w:p w:rsidR="00212442" w:rsidRDefault="00212442">
      <w:pPr>
        <w:pStyle w:val="a3"/>
        <w:spacing w:before="3"/>
        <w:ind w:left="0"/>
        <w:jc w:val="left"/>
        <w:rPr>
          <w:sz w:val="40"/>
        </w:rPr>
      </w:pPr>
    </w:p>
    <w:p w:rsidR="00212442" w:rsidRDefault="003C4775">
      <w:pPr>
        <w:pStyle w:val="a3"/>
        <w:spacing w:line="374" w:lineRule="auto"/>
        <w:ind w:right="5191"/>
        <w:jc w:val="left"/>
      </w:pPr>
      <w:r>
        <w:t>Арбитражный суд Московского округа в составе:</w:t>
      </w:r>
    </w:p>
    <w:p w:rsidR="00212442" w:rsidRDefault="003C4775">
      <w:pPr>
        <w:pStyle w:val="a3"/>
        <w:spacing w:line="374" w:lineRule="auto"/>
        <w:ind w:right="3613"/>
        <w:jc w:val="left"/>
      </w:pPr>
      <w:r>
        <w:t>председательствующего-судьи Ворониной Е.Ю., судей Завирюха Л.В., Малюшина А.А.,</w:t>
      </w:r>
    </w:p>
    <w:p w:rsidR="00212442" w:rsidRDefault="003C4775">
      <w:pPr>
        <w:pStyle w:val="a3"/>
        <w:spacing w:line="296" w:lineRule="exact"/>
        <w:jc w:val="left"/>
      </w:pPr>
      <w:r>
        <w:t>при участии в заседании:</w:t>
      </w:r>
    </w:p>
    <w:p w:rsidR="00212442" w:rsidRDefault="003C4775">
      <w:pPr>
        <w:pStyle w:val="a3"/>
        <w:spacing w:before="164" w:line="374" w:lineRule="auto"/>
        <w:jc w:val="left"/>
      </w:pPr>
      <w:r>
        <w:t>от СНТ «Кузнечиково» Миролевич А.В., Сакмаров В.В., доверенность от 01.06.2018, от публичного акционерног</w:t>
      </w:r>
      <w:r>
        <w:t>о общества «Мосэнергосбыт» не явился, уведомлен,</w:t>
      </w:r>
    </w:p>
    <w:p w:rsidR="00212442" w:rsidRDefault="003C4775">
      <w:pPr>
        <w:pStyle w:val="a3"/>
        <w:spacing w:line="374" w:lineRule="auto"/>
        <w:ind w:right="983"/>
        <w:jc w:val="left"/>
      </w:pPr>
      <w:r>
        <w:t>от публичного акционерного общества «МОЭСК» не явился, уведомлен, рассмотрев 17 июля 2018 года в судебном заседании кассационные жалобы СНТ «Кузнечиково» и публичного акционерного общества «Мосэнергосбыт»</w:t>
      </w:r>
    </w:p>
    <w:p w:rsidR="00212442" w:rsidRDefault="003C4775">
      <w:pPr>
        <w:pStyle w:val="a3"/>
        <w:spacing w:line="374" w:lineRule="auto"/>
        <w:jc w:val="left"/>
      </w:pPr>
      <w:r>
        <w:t>на</w:t>
      </w:r>
      <w:r>
        <w:t xml:space="preserve"> решение от 25 декабря 2017 года Арбитражного суда Московской области, принятое судьей Сергеевой А.С.,</w:t>
      </w:r>
    </w:p>
    <w:p w:rsidR="00212442" w:rsidRDefault="003C4775">
      <w:pPr>
        <w:pStyle w:val="a3"/>
        <w:spacing w:line="374" w:lineRule="auto"/>
        <w:jc w:val="left"/>
      </w:pPr>
      <w:r>
        <w:t>на постановление от 17 апреля 2018 года Десятого арбитражного апелляционного суда,</w:t>
      </w:r>
    </w:p>
    <w:p w:rsidR="00212442" w:rsidRDefault="003C4775">
      <w:pPr>
        <w:pStyle w:val="a3"/>
        <w:spacing w:line="297" w:lineRule="exact"/>
        <w:jc w:val="left"/>
      </w:pPr>
      <w:r>
        <w:t>принятое судьями Коротковой Е.Н., Гараевой Н.Я., Муриной В.А.,</w:t>
      </w:r>
    </w:p>
    <w:p w:rsidR="00212442" w:rsidRDefault="00212442">
      <w:pPr>
        <w:spacing w:line="297" w:lineRule="exact"/>
        <w:sectPr w:rsidR="00212442">
          <w:type w:val="continuous"/>
          <w:pgSz w:w="11910" w:h="16840"/>
          <w:pgMar w:top="400" w:right="840" w:bottom="280" w:left="300" w:header="720" w:footer="720" w:gutter="0"/>
          <w:cols w:space="720"/>
        </w:sectPr>
      </w:pPr>
    </w:p>
    <w:p w:rsidR="00212442" w:rsidRDefault="003C4775">
      <w:pPr>
        <w:pStyle w:val="a3"/>
        <w:spacing w:before="116" w:line="374" w:lineRule="auto"/>
        <w:ind w:right="2541"/>
        <w:jc w:val="left"/>
      </w:pPr>
      <w:r>
        <w:lastRenderedPageBreak/>
        <w:t>по иску публичного акционерного общества «Мосэнергосбыт» к СНТ «Кузнечиково»</w:t>
      </w:r>
    </w:p>
    <w:p w:rsidR="00212442" w:rsidRDefault="003C4775">
      <w:pPr>
        <w:pStyle w:val="a3"/>
        <w:spacing w:line="296" w:lineRule="exact"/>
        <w:jc w:val="left"/>
      </w:pPr>
      <w:r>
        <w:t>о взыскании задолженности,</w:t>
      </w:r>
    </w:p>
    <w:p w:rsidR="00212442" w:rsidRDefault="003C4775">
      <w:pPr>
        <w:pStyle w:val="a3"/>
        <w:spacing w:before="166" w:line="374" w:lineRule="auto"/>
        <w:ind w:right="1813"/>
        <w:jc w:val="left"/>
      </w:pPr>
      <w:r>
        <w:t>по встречному иску о взыскании неосновательного обогащения, третье лицо: публичное акционерное общество «МОЭСК»,</w:t>
      </w:r>
    </w:p>
    <w:p w:rsidR="00212442" w:rsidRDefault="003C4775">
      <w:pPr>
        <w:pStyle w:val="a3"/>
        <w:spacing w:line="296" w:lineRule="exact"/>
        <w:ind w:left="2717" w:right="1676"/>
        <w:jc w:val="center"/>
      </w:pPr>
      <w:r>
        <w:t>УСТАНОВИЛ:</w:t>
      </w:r>
    </w:p>
    <w:p w:rsidR="00212442" w:rsidRDefault="003C4775">
      <w:pPr>
        <w:pStyle w:val="a3"/>
        <w:spacing w:before="166" w:line="374" w:lineRule="auto"/>
        <w:ind w:right="147" w:firstLine="455"/>
      </w:pPr>
      <w:r>
        <w:rPr>
          <w:spacing w:val="-2"/>
        </w:rPr>
        <w:t xml:space="preserve">Публичное </w:t>
      </w:r>
      <w:r>
        <w:t xml:space="preserve">акционерное общество «Мосэнергосбыт» обратилось в Арбитражный </w:t>
      </w:r>
      <w:r>
        <w:rPr>
          <w:spacing w:val="-6"/>
        </w:rPr>
        <w:t xml:space="preserve">суд </w:t>
      </w:r>
      <w:r>
        <w:t xml:space="preserve">Московской области с исковыми требованиями к СНТ «Кузнечиково» о взыскании задолженности за неучтенно потребленную электроэнергию за период с 02.06.2016 по 08.08.2016 в размере 1 812 283 </w:t>
      </w:r>
      <w:r>
        <w:rPr>
          <w:spacing w:val="-5"/>
        </w:rPr>
        <w:t>руб</w:t>
      </w:r>
      <w:r>
        <w:rPr>
          <w:spacing w:val="-5"/>
        </w:rPr>
        <w:t xml:space="preserve">. </w:t>
      </w:r>
      <w:r>
        <w:t>42 коп., а также законной</w:t>
      </w:r>
    </w:p>
    <w:p w:rsidR="00212442" w:rsidRDefault="003C4775">
      <w:pPr>
        <w:pStyle w:val="a3"/>
        <w:spacing w:line="294" w:lineRule="exact"/>
      </w:pPr>
      <w:r>
        <w:t>неустойки в размере 180 032 руб. 77 коп.</w:t>
      </w:r>
    </w:p>
    <w:p w:rsidR="00212442" w:rsidRDefault="003C4775">
      <w:pPr>
        <w:pStyle w:val="a3"/>
        <w:spacing w:before="166" w:line="374" w:lineRule="auto"/>
        <w:ind w:right="145" w:firstLine="390"/>
      </w:pPr>
      <w:r>
        <w:t>СНТ «Кузнечиково» заявлен встречный иск о взыскании с публичного акционерного общества «Мосэнергосбыт» неосновательного обогащения в размере 575 517 руб. 79 коп.</w:t>
      </w:r>
    </w:p>
    <w:p w:rsidR="00212442" w:rsidRDefault="003C4775">
      <w:pPr>
        <w:pStyle w:val="a3"/>
        <w:spacing w:line="374" w:lineRule="auto"/>
        <w:ind w:right="146" w:firstLine="390"/>
      </w:pPr>
      <w:r>
        <w:t>Решением от 25 декабря 20</w:t>
      </w:r>
      <w:r>
        <w:t xml:space="preserve">17 года Арбитражного </w:t>
      </w:r>
      <w:r>
        <w:rPr>
          <w:spacing w:val="-5"/>
        </w:rPr>
        <w:t xml:space="preserve">суда </w:t>
      </w:r>
      <w:r>
        <w:t xml:space="preserve">Московской области, оставленным без изменения постановлением от 17 апреля 2018 года Десятого арбитражного апелляционного </w:t>
      </w:r>
      <w:r>
        <w:rPr>
          <w:spacing w:val="-4"/>
        </w:rPr>
        <w:t xml:space="preserve">суда, </w:t>
      </w:r>
      <w:r>
        <w:t>в удовлетворении первоначального и встречного исков</w:t>
      </w:r>
      <w:r>
        <w:rPr>
          <w:spacing w:val="1"/>
        </w:rPr>
        <w:t xml:space="preserve"> </w:t>
      </w:r>
      <w:r>
        <w:t>отказано.</w:t>
      </w:r>
    </w:p>
    <w:p w:rsidR="00212442" w:rsidRDefault="003C4775">
      <w:pPr>
        <w:pStyle w:val="a3"/>
        <w:spacing w:line="374" w:lineRule="auto"/>
        <w:ind w:right="148" w:firstLine="585"/>
      </w:pPr>
      <w:r>
        <w:t xml:space="preserve">Не согласившись с принятыми </w:t>
      </w:r>
      <w:r>
        <w:rPr>
          <w:spacing w:val="-3"/>
        </w:rPr>
        <w:t xml:space="preserve">судебными </w:t>
      </w:r>
      <w:r>
        <w:t>акт</w:t>
      </w:r>
      <w:r>
        <w:t xml:space="preserve">ами в части отказа в удовлетворении первоначального иска, </w:t>
      </w:r>
      <w:r>
        <w:rPr>
          <w:spacing w:val="-3"/>
        </w:rPr>
        <w:t xml:space="preserve">публичное </w:t>
      </w:r>
      <w:r>
        <w:t>акционерное</w:t>
      </w:r>
      <w:r>
        <w:rPr>
          <w:spacing w:val="53"/>
        </w:rPr>
        <w:t xml:space="preserve"> </w:t>
      </w:r>
      <w:r>
        <w:t>общество</w:t>
      </w:r>
    </w:p>
    <w:p w:rsidR="00212442" w:rsidRDefault="003C4775">
      <w:pPr>
        <w:pStyle w:val="a3"/>
        <w:spacing w:line="374" w:lineRule="auto"/>
        <w:ind w:right="143"/>
      </w:pPr>
      <w:r>
        <w:t>«Мосэнергосбыт» обратилось в Арбитражный суд Московского округа с кассационной жалобой, в которой указывает на нарушение судами норм материального и процессуального пр</w:t>
      </w:r>
      <w:r>
        <w:t>ава, на несоответствие выводов, содержащихся в обжалуемых судебных актах, фактическим обстоятельствам дела и имеющимся в деле доказательствам, в связи с чем просит отменить решение от 25 декабря 2017 года Арбитражного суда Московской области и постановлени</w:t>
      </w:r>
      <w:r>
        <w:t>е от 17 апреля 2018 года Десятого арбитражного апелляционного суда в указанной части, принять новый судебный акт об удовлетворении первоначального иска.</w:t>
      </w:r>
    </w:p>
    <w:p w:rsidR="00212442" w:rsidRDefault="003C4775">
      <w:pPr>
        <w:pStyle w:val="a3"/>
        <w:spacing w:line="374" w:lineRule="auto"/>
        <w:ind w:right="148" w:firstLine="650"/>
      </w:pPr>
      <w:r>
        <w:t>Не согласившись с принятыми судебными актами в части отказа в удовлетворении встречного иска, в Арбитра</w:t>
      </w:r>
      <w:r>
        <w:t>жный суд Московского округа  с кассационной жалобой также обратилось СНТ «Кузнечиково».</w:t>
      </w:r>
    </w:p>
    <w:p w:rsidR="00212442" w:rsidRDefault="00212442">
      <w:pPr>
        <w:spacing w:line="374" w:lineRule="auto"/>
        <w:sectPr w:rsidR="00212442">
          <w:headerReference w:type="default" r:id="rId11"/>
          <w:pgSz w:w="11910" w:h="16840"/>
          <w:pgMar w:top="1020" w:right="840" w:bottom="280" w:left="300" w:header="734" w:footer="0" w:gutter="0"/>
          <w:pgNumType w:start="2"/>
          <w:cols w:space="720"/>
        </w:sectPr>
      </w:pPr>
    </w:p>
    <w:p w:rsidR="00212442" w:rsidRDefault="003C4775">
      <w:pPr>
        <w:pStyle w:val="a3"/>
        <w:spacing w:before="116" w:line="374" w:lineRule="auto"/>
        <w:ind w:right="146" w:firstLine="650"/>
      </w:pPr>
      <w:r>
        <w:lastRenderedPageBreak/>
        <w:t xml:space="preserve">В своей кассационной жалобе СНТ «Кузнечиково» просит решение </w:t>
      </w:r>
      <w:r>
        <w:rPr>
          <w:spacing w:val="-5"/>
        </w:rPr>
        <w:t xml:space="preserve">суда </w:t>
      </w:r>
      <w:r>
        <w:t xml:space="preserve">первой инстанции и постановление </w:t>
      </w:r>
      <w:r>
        <w:rPr>
          <w:spacing w:val="-5"/>
        </w:rPr>
        <w:t xml:space="preserve">суда </w:t>
      </w:r>
      <w:r>
        <w:t>апелляционной инстанции отменить в части отказа в удовлетворении встречного иска, направить дело в указанной части на новое рассмотрение.</w:t>
      </w:r>
    </w:p>
    <w:p w:rsidR="00212442" w:rsidRDefault="003C4775">
      <w:pPr>
        <w:pStyle w:val="a3"/>
        <w:spacing w:line="374" w:lineRule="auto"/>
        <w:ind w:right="143" w:firstLine="565"/>
      </w:pPr>
      <w:r>
        <w:rPr>
          <w:spacing w:val="-3"/>
        </w:rPr>
        <w:t xml:space="preserve">Заслушав </w:t>
      </w:r>
      <w:r>
        <w:t>предс</w:t>
      </w:r>
      <w:r>
        <w:t xml:space="preserve">тавителей лиц, </w:t>
      </w:r>
      <w:r>
        <w:rPr>
          <w:spacing w:val="-3"/>
        </w:rPr>
        <w:t xml:space="preserve">участвующих </w:t>
      </w:r>
      <w:r>
        <w:t xml:space="preserve">в деле и явившихся в </w:t>
      </w:r>
      <w:r>
        <w:rPr>
          <w:spacing w:val="-3"/>
        </w:rPr>
        <w:t xml:space="preserve">судебное </w:t>
      </w:r>
      <w:r>
        <w:t xml:space="preserve">заседание, </w:t>
      </w:r>
      <w:r>
        <w:rPr>
          <w:spacing w:val="-3"/>
        </w:rPr>
        <w:t xml:space="preserve">изучив </w:t>
      </w:r>
      <w:r>
        <w:t xml:space="preserve">доводы кассационных жалоб и проверив в порядке </w:t>
      </w:r>
      <w:hyperlink r:id="rId12">
        <w:r>
          <w:t>статей 284</w:t>
        </w:r>
      </w:hyperlink>
      <w:r>
        <w:t xml:space="preserve">, </w:t>
      </w:r>
      <w:hyperlink r:id="rId13">
        <w:r>
          <w:t>286</w:t>
        </w:r>
      </w:hyperlink>
      <w:r>
        <w:t xml:space="preserve">, </w:t>
      </w:r>
      <w:hyperlink r:id="rId14">
        <w:r>
          <w:t>287</w:t>
        </w:r>
      </w:hyperlink>
      <w:r>
        <w:t xml:space="preserve"> Арбитражного процессуального кодекса Российской Федерации правильность применения </w:t>
      </w:r>
      <w:r>
        <w:rPr>
          <w:spacing w:val="-4"/>
        </w:rPr>
        <w:t xml:space="preserve">судами </w:t>
      </w:r>
      <w:r>
        <w:t>первой и апелляционной инстанций норм материального права и соблюдение норм процессуального права при принятии обжалуемых решени</w:t>
      </w:r>
      <w:r>
        <w:t xml:space="preserve">я и </w:t>
      </w:r>
      <w:hyperlink r:id="rId15">
        <w:r>
          <w:t>постановления</w:t>
        </w:r>
      </w:hyperlink>
      <w:r>
        <w:t>, а также соответствие выводов в указанных актах установленным по делу фактическим обстоятельствам и имеющимся в деле доказ</w:t>
      </w:r>
      <w:r>
        <w:t xml:space="preserve">ательствам, </w:t>
      </w:r>
      <w:r>
        <w:rPr>
          <w:spacing w:val="-6"/>
        </w:rPr>
        <w:t xml:space="preserve">суд </w:t>
      </w:r>
      <w:r>
        <w:t xml:space="preserve">кассационной инстанции пришел к выводу о том, что названные </w:t>
      </w:r>
      <w:r>
        <w:rPr>
          <w:spacing w:val="-3"/>
        </w:rPr>
        <w:t xml:space="preserve">судебные </w:t>
      </w:r>
      <w:r>
        <w:t>акты должны быть оставлены без изменения, а кассационные жалобы - без удовлетворения в связи со</w:t>
      </w:r>
      <w:r>
        <w:rPr>
          <w:spacing w:val="-3"/>
        </w:rPr>
        <w:t xml:space="preserve"> </w:t>
      </w:r>
      <w:r>
        <w:t>следующим.</w:t>
      </w:r>
    </w:p>
    <w:p w:rsidR="00212442" w:rsidRDefault="003C4775">
      <w:pPr>
        <w:pStyle w:val="a3"/>
        <w:spacing w:line="286" w:lineRule="exact"/>
        <w:ind w:left="1641"/>
      </w:pPr>
      <w:r>
        <w:t>Как установлено судами и следует из материалов дела, между ПАО</w:t>
      </w:r>
    </w:p>
    <w:p w:rsidR="00212442" w:rsidRDefault="003C4775">
      <w:pPr>
        <w:pStyle w:val="a3"/>
        <w:spacing w:before="161" w:line="374" w:lineRule="auto"/>
        <w:ind w:right="153"/>
      </w:pPr>
      <w:r>
        <w:t>«</w:t>
      </w:r>
      <w:r>
        <w:t>Мосэнергосбыт» (МЭС) и СНТ «Кузнечиково» (абонент) заключен договор энергоснабжения № 90154229 от 13.02.2012 на снабжение электрической энергией.</w:t>
      </w:r>
    </w:p>
    <w:p w:rsidR="00212442" w:rsidRDefault="003C4775">
      <w:pPr>
        <w:pStyle w:val="a3"/>
        <w:spacing w:line="374" w:lineRule="auto"/>
        <w:ind w:right="131" w:firstLine="520"/>
      </w:pPr>
      <w:r>
        <w:t>В соответствии с п. 1.1 договора МЭС обязуется осуществлять продажу абоненту электрическую энергию (мощность),</w:t>
      </w:r>
      <w:r>
        <w:t xml:space="preserve"> а абонент обязуется оплачивать поставленную электрическую энергию (мощность) и оказанные услуги в порядке, предусмотренном договором. Энергопринимающее оборудование абонента расположено по адресу: Московская область, Клинский район, вблизи д. Кузнечиково.</w:t>
      </w:r>
    </w:p>
    <w:p w:rsidR="00212442" w:rsidRDefault="003C4775">
      <w:pPr>
        <w:pStyle w:val="a3"/>
        <w:spacing w:line="374" w:lineRule="auto"/>
        <w:ind w:right="146" w:firstLine="540"/>
      </w:pPr>
      <w:r>
        <w:t>В обоснование первоначального иска ПАО «Мосэнергосбыт» указано, что 08 августа 2016 работниками ПАО «Мосэнергосбыт» была проведена проверка потребления электрической энергии и составлен Акт № 8-30 проверки узла учета электроэнергии. На основании данного а</w:t>
      </w:r>
      <w:r>
        <w:t>кта 15.08.2016 был составлен Акт № 000536К-СУ от 15.08.2018. Согласно Акту был осуществлен расчет безучетного потребления электрической энергии с 02.06.2016 по 08.08.2016, размер которой составил 1 813 283 руб. 42 коп.</w:t>
      </w:r>
    </w:p>
    <w:p w:rsidR="00212442" w:rsidRDefault="00212442">
      <w:pPr>
        <w:spacing w:line="374" w:lineRule="auto"/>
        <w:sectPr w:rsidR="00212442">
          <w:pgSz w:w="11910" w:h="16840"/>
          <w:pgMar w:top="1020" w:right="840" w:bottom="280" w:left="300" w:header="734" w:footer="0" w:gutter="0"/>
          <w:cols w:space="720"/>
        </w:sectPr>
      </w:pPr>
    </w:p>
    <w:p w:rsidR="00212442" w:rsidRDefault="003C4775">
      <w:pPr>
        <w:pStyle w:val="a3"/>
        <w:spacing w:before="116" w:line="374" w:lineRule="auto"/>
        <w:ind w:right="142" w:firstLine="540"/>
      </w:pPr>
      <w:r>
        <w:lastRenderedPageBreak/>
        <w:t xml:space="preserve">В соответствии с условиями Основных </w:t>
      </w:r>
      <w:hyperlink r:id="rId16">
        <w:r>
          <w:t>положений</w:t>
        </w:r>
      </w:hyperlink>
      <w:r>
        <w:t xml:space="preserve"> функционирования розничных рынков электрической энергии, утвержденных Пост</w:t>
      </w:r>
      <w:r>
        <w:t>ановлением Правительства Российской Федерации от 04.05.2012 № 442, функционирования розничных рынков электрической энергии, субъекты электроэнергетики, обеспечивающие снабжение электрической энергией потребителей, в том числе гарантирующие поставщики (элек</w:t>
      </w:r>
      <w:r>
        <w:t xml:space="preserve">тросбытовые, энергоснабжающие организации) и сетевые организации, в соответствии с настоящим </w:t>
      </w:r>
      <w:hyperlink r:id="rId17">
        <w:r>
          <w:t xml:space="preserve">разделом </w:t>
        </w:r>
      </w:hyperlink>
      <w:r>
        <w:t>проверяют соблюден</w:t>
      </w:r>
      <w:r>
        <w:t xml:space="preserve">ие потребителями (потребителями электрической энергии (мощности) на розничных рынках) требований настоящего документа, определяющих порядок учета электрической энергии, условий заключенных договоров энергоснабжения (купли- продажи (поставки) электрической </w:t>
      </w:r>
      <w:r>
        <w:t>энергии (мощности)), договоров оказания услуг по передаче электрической энергии, договоров оказания услуг оперативно- диспетчерского управления, а также проводят проверки на предмет выявления фактов безучетного и бездоговорного потребления электрической эн</w:t>
      </w:r>
      <w:r>
        <w:t>ергии. Под безучетным потреблением понимается потребление электрической энергии с нарушением установленного договора энергоснабжения, договора оказания услуг выразившимся во вмешательстве в работу прибора учета, обязанность по обеспечению целостности и сох</w:t>
      </w:r>
      <w:r>
        <w:t xml:space="preserve">ранности которого возложена на потребителя, в том числе в нарушении пломб и знаков визуального контроля, нанесенных на прибор учета, в несоблюдении установленных договором сроков извещения об утрате (неисправности) прибора учета (системы учета), а также в </w:t>
      </w:r>
      <w:r>
        <w:t>совершении потребителем иных действий (бездействий), которые привели к искажению данных об объеме потребления электрической энергии (мощности).</w:t>
      </w:r>
    </w:p>
    <w:p w:rsidR="00212442" w:rsidRDefault="003C4775">
      <w:pPr>
        <w:pStyle w:val="a3"/>
        <w:spacing w:line="270" w:lineRule="exact"/>
        <w:ind w:left="1661"/>
      </w:pPr>
      <w:hyperlink r:id="rId18">
        <w:r>
          <w:rPr>
            <w:spacing w:val="-3"/>
          </w:rPr>
          <w:t xml:space="preserve">Пунктом   </w:t>
        </w:r>
        <w:r>
          <w:t>172</w:t>
        </w:r>
      </w:hyperlink>
      <w:r>
        <w:t xml:space="preserve">   предусмотрено,   что  проверки  </w:t>
      </w:r>
      <w:r>
        <w:rPr>
          <w:spacing w:val="-4"/>
        </w:rPr>
        <w:t xml:space="preserve">учета </w:t>
      </w:r>
      <w:r>
        <w:rPr>
          <w:spacing w:val="57"/>
        </w:rPr>
        <w:t xml:space="preserve"> </w:t>
      </w:r>
      <w:r>
        <w:t>осуществляются</w:t>
      </w:r>
      <w:r>
        <w:rPr>
          <w:spacing w:val="63"/>
        </w:rPr>
        <w:t xml:space="preserve"> </w:t>
      </w:r>
      <w:r>
        <w:t>сетевой</w:t>
      </w:r>
    </w:p>
    <w:p w:rsidR="00212442" w:rsidRDefault="003C4775">
      <w:pPr>
        <w:pStyle w:val="a3"/>
        <w:spacing w:before="166" w:line="374" w:lineRule="auto"/>
        <w:ind w:right="146"/>
      </w:pPr>
      <w:r>
        <w:t>организацией, к объектам электросетевого хозяйства которой непосредственно или опосредованно присоединены энергопринимающие устройства (объекты по произво</w:t>
      </w:r>
      <w:r>
        <w:t xml:space="preserve">дству электрической энергии (мощности)), в отношении которых установлены подлежащие проверке расчетные приборы </w:t>
      </w:r>
      <w:r>
        <w:rPr>
          <w:spacing w:val="-3"/>
        </w:rPr>
        <w:t xml:space="preserve">учета, </w:t>
      </w:r>
      <w:r>
        <w:t xml:space="preserve">если иное не установлено в договоре оказания </w:t>
      </w:r>
      <w:r>
        <w:rPr>
          <w:spacing w:val="-7"/>
        </w:rPr>
        <w:t xml:space="preserve">услуг </w:t>
      </w:r>
      <w:r>
        <w:t xml:space="preserve">по передаче электрической энергии, заключенном такой сетевой организацией с </w:t>
      </w:r>
      <w:r>
        <w:rPr>
          <w:spacing w:val="-4"/>
        </w:rPr>
        <w:t xml:space="preserve">другой </w:t>
      </w:r>
      <w:r>
        <w:t>сете</w:t>
      </w:r>
      <w:r>
        <w:t xml:space="preserve">вой организацией. Проверки расчетных   приборов   </w:t>
      </w:r>
      <w:r>
        <w:rPr>
          <w:spacing w:val="-4"/>
        </w:rPr>
        <w:t xml:space="preserve">учета </w:t>
      </w:r>
      <w:r>
        <w:rPr>
          <w:spacing w:val="57"/>
        </w:rPr>
        <w:t xml:space="preserve"> </w:t>
      </w:r>
      <w:r>
        <w:t>включают   визуальный   осмотр   схемы</w:t>
      </w:r>
      <w:r>
        <w:rPr>
          <w:spacing w:val="28"/>
        </w:rPr>
        <w:t xml:space="preserve"> </w:t>
      </w:r>
      <w:r>
        <w:t>подключения</w:t>
      </w:r>
    </w:p>
    <w:p w:rsidR="00212442" w:rsidRDefault="00212442">
      <w:pPr>
        <w:spacing w:line="374" w:lineRule="auto"/>
        <w:sectPr w:rsidR="00212442">
          <w:pgSz w:w="11910" w:h="16840"/>
          <w:pgMar w:top="1020" w:right="840" w:bottom="280" w:left="300" w:header="734" w:footer="0" w:gutter="0"/>
          <w:cols w:space="720"/>
        </w:sectPr>
      </w:pPr>
    </w:p>
    <w:p w:rsidR="00212442" w:rsidRDefault="003C4775">
      <w:pPr>
        <w:pStyle w:val="a3"/>
        <w:spacing w:before="116" w:line="374" w:lineRule="auto"/>
        <w:ind w:right="151"/>
      </w:pPr>
      <w:r>
        <w:lastRenderedPageBreak/>
        <w:t xml:space="preserve">энергопринимающих устройств (объектов по производству электрической энергии (мощности) и схем соединения приборов </w:t>
      </w:r>
      <w:r>
        <w:rPr>
          <w:spacing w:val="-3"/>
        </w:rPr>
        <w:t xml:space="preserve">учета, </w:t>
      </w:r>
      <w:r>
        <w:t xml:space="preserve">проверку соответствия приборов </w:t>
      </w:r>
      <w:r>
        <w:rPr>
          <w:spacing w:val="-4"/>
        </w:rPr>
        <w:t>учета</w:t>
      </w:r>
      <w:r>
        <w:rPr>
          <w:spacing w:val="57"/>
        </w:rPr>
        <w:t xml:space="preserve"> </w:t>
      </w:r>
      <w:r>
        <w:t xml:space="preserve">требованиям настоящего документа, проверку состояния прибора </w:t>
      </w:r>
      <w:r>
        <w:rPr>
          <w:spacing w:val="-3"/>
        </w:rPr>
        <w:t xml:space="preserve">учета, </w:t>
      </w:r>
      <w:r>
        <w:t xml:space="preserve">наличия и сохранности контрольных пломб и знаков визуального контроля, а также снятие показаний приборов </w:t>
      </w:r>
      <w:r>
        <w:rPr>
          <w:spacing w:val="-3"/>
        </w:rPr>
        <w:t xml:space="preserve">учета. </w:t>
      </w:r>
      <w:r>
        <w:t>Указанная проверка должна проводиться н</w:t>
      </w:r>
      <w:r>
        <w:t>е реже 1 раза в год и может проводиться в виде инструментальной</w:t>
      </w:r>
      <w:r>
        <w:rPr>
          <w:spacing w:val="-2"/>
        </w:rPr>
        <w:t xml:space="preserve"> </w:t>
      </w:r>
      <w:r>
        <w:t>проверки.</w:t>
      </w:r>
    </w:p>
    <w:p w:rsidR="00212442" w:rsidRDefault="003C4775">
      <w:pPr>
        <w:pStyle w:val="a3"/>
        <w:spacing w:line="374" w:lineRule="auto"/>
        <w:ind w:right="151" w:firstLine="540"/>
      </w:pPr>
      <w:r>
        <w:t>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</w:t>
      </w:r>
      <w:r>
        <w:t>е 3 рабочих дней с даты его составления передается в адрес гарантирующего поставщика (энергосбытовой, энергоснабжающей организации), обслуживающей потребителя, осуществляющего безучетное потребление.</w:t>
      </w:r>
    </w:p>
    <w:p w:rsidR="00212442" w:rsidRDefault="003C4775">
      <w:pPr>
        <w:pStyle w:val="a3"/>
        <w:spacing w:line="374" w:lineRule="auto"/>
        <w:ind w:right="148" w:firstLine="540"/>
      </w:pPr>
      <w:r>
        <w:t>При составлении акта о неучтенном потреблении электричес</w:t>
      </w:r>
      <w:r>
        <w:t>кой энергии должен присутствовать потребитель, осуществляющий безучетное потребление (обслуживающий его гарантирующий поставщик (энергосбытовая, энергоснабжающая организация)), или лицо, осуществляющее бездоговорное потребление электрической</w:t>
      </w:r>
      <w:r>
        <w:rPr>
          <w:spacing w:val="-1"/>
        </w:rPr>
        <w:t xml:space="preserve"> </w:t>
      </w:r>
      <w:r>
        <w:t>энергии.</w:t>
      </w:r>
    </w:p>
    <w:p w:rsidR="00212442" w:rsidRDefault="003C4775">
      <w:pPr>
        <w:pStyle w:val="a3"/>
        <w:spacing w:line="374" w:lineRule="auto"/>
        <w:ind w:right="146" w:firstLine="540"/>
      </w:pPr>
      <w:r>
        <w:t>Отказ</w:t>
      </w:r>
      <w:r>
        <w:t xml:space="preserve"> лица, осуществляющего безучетное или бездоговорное потребление электрической энергии, от подписания составленного акта о неучтенном потреблении электрической энергии, а также его отказ присутствовать при составлении акта должен быть зафиксирован с указани</w:t>
      </w:r>
      <w:r>
        <w:t>ем причин такого отказа в акте о неучтенном потреблении электрической энергии, составленном в присутствии 2 незаинтересованных лиц.</w:t>
      </w:r>
    </w:p>
    <w:p w:rsidR="00212442" w:rsidRDefault="003C4775">
      <w:pPr>
        <w:pStyle w:val="a3"/>
        <w:spacing w:line="374" w:lineRule="auto"/>
        <w:ind w:right="145" w:firstLine="540"/>
      </w:pPr>
      <w:r>
        <w:t xml:space="preserve">Согласно </w:t>
      </w:r>
      <w:hyperlink r:id="rId19">
        <w:r>
          <w:t>пункту 196</w:t>
        </w:r>
      </w:hyperlink>
      <w:r>
        <w:t xml:space="preserve"> Основных положений № 442 объем бездоговорного потребления электрической энергии определяется расчетным способом, предусмотренным </w:t>
      </w:r>
      <w:hyperlink r:id="rId20">
        <w:r>
          <w:t>пунктом 2</w:t>
        </w:r>
      </w:hyperlink>
      <w:r>
        <w:t xml:space="preserve"> приложения № 3 к настоящему документу, за период времени, в течение которого осуществлялось бездоговорное потребление электрической энергии, но не более чем за 3 года.</w:t>
      </w:r>
    </w:p>
    <w:p w:rsidR="00212442" w:rsidRDefault="003C4775">
      <w:pPr>
        <w:pStyle w:val="a3"/>
        <w:spacing w:line="374" w:lineRule="auto"/>
        <w:ind w:right="139" w:firstLine="540"/>
      </w:pPr>
      <w:r>
        <w:t>Сетевая организация оформляет счет дл</w:t>
      </w:r>
      <w:r>
        <w:t>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</w:t>
      </w:r>
    </w:p>
    <w:p w:rsidR="00212442" w:rsidRDefault="00212442">
      <w:pPr>
        <w:spacing w:line="374" w:lineRule="auto"/>
        <w:sectPr w:rsidR="00212442">
          <w:pgSz w:w="11910" w:h="16840"/>
          <w:pgMar w:top="1020" w:right="840" w:bottom="280" w:left="300" w:header="734" w:footer="0" w:gutter="0"/>
          <w:cols w:space="720"/>
        </w:sectPr>
      </w:pPr>
    </w:p>
    <w:p w:rsidR="00212442" w:rsidRDefault="003C4775">
      <w:pPr>
        <w:pStyle w:val="a3"/>
        <w:spacing w:before="116" w:line="374" w:lineRule="auto"/>
        <w:ind w:right="146"/>
      </w:pPr>
      <w:r>
        <w:lastRenderedPageBreak/>
        <w:t>бездоговорное потребление, способом, позволяющим под</w:t>
      </w:r>
      <w:r>
        <w:t xml:space="preserve">твердить факт получения, вместе с актом о неучтенном потреблении электрической энергии в срок, установленный </w:t>
      </w:r>
      <w:hyperlink r:id="rId21">
        <w:r>
          <w:t>пунктом 192</w:t>
        </w:r>
        <w:r>
          <w:t xml:space="preserve"> </w:t>
        </w:r>
      </w:hyperlink>
      <w:r>
        <w:t>настоящего документа.</w:t>
      </w:r>
    </w:p>
    <w:p w:rsidR="00212442" w:rsidRDefault="003C4775">
      <w:pPr>
        <w:pStyle w:val="a3"/>
        <w:spacing w:line="374" w:lineRule="auto"/>
        <w:ind w:right="146" w:firstLine="540"/>
      </w:pPr>
      <w:r>
        <w:t>Лицо, осуществившее бездоговорное потребление, обязано оплатить счет для оплаты стоимости электрической энергии в объеме бездоговорного потребления в течение 10 дней со дня получения счета.</w:t>
      </w:r>
    </w:p>
    <w:p w:rsidR="00212442" w:rsidRDefault="003C4775">
      <w:pPr>
        <w:pStyle w:val="a3"/>
        <w:spacing w:line="374" w:lineRule="auto"/>
        <w:ind w:right="145" w:firstLine="540"/>
      </w:pPr>
      <w:r>
        <w:t>При отказе лица, осуществившего бездоговорное потребление,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</w:t>
      </w:r>
      <w:r>
        <w:t>овании акта о неучтенном потреблении электрической энергии и счета для оплаты стоимости электрической энергии в объеме бездоговорного потребления.</w:t>
      </w:r>
    </w:p>
    <w:p w:rsidR="00212442" w:rsidRDefault="003C4775">
      <w:pPr>
        <w:pStyle w:val="a3"/>
        <w:spacing w:line="374" w:lineRule="auto"/>
        <w:ind w:right="145" w:firstLine="520"/>
      </w:pPr>
      <w:r>
        <w:t>Суды первой и апелляционной инстанций установив, что Акт № 8-30 проверки узла учета электроэнергии от 08.08.2</w:t>
      </w:r>
      <w:r>
        <w:t>016 и Акт № 000536К-СУ от 15.08.2016 о неучтенном потреблении электрической энергии составлены в отсутствие представителей ответчика, не по месту нахождения энергопринимающих устройств, на основании актов осмотра, спустя длительное время после оформления а</w:t>
      </w:r>
      <w:r>
        <w:t>кта осмотра, пришли к правомерному выводу об отсутствии правовых оснований для удовлетворении первоначального иска, поскольку указанные акты не могут быть признаны надлежащим доказательством факта и объема бездоговорного потребления, так как составлены с н</w:t>
      </w:r>
      <w:r>
        <w:t xml:space="preserve">арушением требований Основных </w:t>
      </w:r>
      <w:hyperlink r:id="rId22">
        <w:r>
          <w:t>положений</w:t>
        </w:r>
      </w:hyperlink>
      <w:r>
        <w:t xml:space="preserve"> функционирования розничных рынков электрической энергии, утвержденных Постановле</w:t>
      </w:r>
      <w:r>
        <w:t>нием Правительства Российской Федерации от 04.05.2012 № 442.</w:t>
      </w:r>
    </w:p>
    <w:p w:rsidR="00212442" w:rsidRDefault="003C4775">
      <w:pPr>
        <w:pStyle w:val="a3"/>
        <w:spacing w:line="285" w:lineRule="exact"/>
        <w:ind w:left="1706"/>
      </w:pPr>
      <w:r>
        <w:t>В обоснование встречного иска СНТ «Кузнечиково» указано, что ПАО</w:t>
      </w:r>
    </w:p>
    <w:p w:rsidR="00212442" w:rsidRDefault="003C4775">
      <w:pPr>
        <w:pStyle w:val="a3"/>
        <w:spacing w:before="150" w:line="374" w:lineRule="auto"/>
        <w:ind w:right="153"/>
      </w:pPr>
      <w:r>
        <w:t>«Мосэнергосбыт» при исчислении оплаты за поставленную электрическую электроэнергию применялся повышенный тариф трансформации.</w:t>
      </w:r>
    </w:p>
    <w:p w:rsidR="00212442" w:rsidRDefault="003C4775">
      <w:pPr>
        <w:pStyle w:val="a3"/>
        <w:spacing w:line="374" w:lineRule="auto"/>
        <w:ind w:right="144" w:firstLine="585"/>
      </w:pPr>
      <w:r>
        <w:t>Отка</w:t>
      </w:r>
      <w:r>
        <w:t>зывая в удовлетворении встречных исковых требований, суды обеих инстанций исходили из доказанности пропуска СНТ «Кузнечиково» срока исковой давности.</w:t>
      </w:r>
    </w:p>
    <w:p w:rsidR="00212442" w:rsidRDefault="003C4775">
      <w:pPr>
        <w:pStyle w:val="a3"/>
        <w:spacing w:line="374" w:lineRule="auto"/>
        <w:ind w:right="154" w:firstLine="540"/>
      </w:pPr>
      <w:r>
        <w:t xml:space="preserve">При наличии заявления надлежащего лица об истечении срока исковой давности </w:t>
      </w:r>
      <w:r>
        <w:rPr>
          <w:spacing w:val="-6"/>
        </w:rPr>
        <w:t xml:space="preserve">суд </w:t>
      </w:r>
      <w:r>
        <w:t>вправе отказать в удовлетво</w:t>
      </w:r>
      <w:r>
        <w:t>рении требования именно по</w:t>
      </w:r>
      <w:r>
        <w:rPr>
          <w:spacing w:val="19"/>
        </w:rPr>
        <w:t xml:space="preserve"> </w:t>
      </w:r>
      <w:r>
        <w:t>этим</w:t>
      </w:r>
    </w:p>
    <w:p w:rsidR="00212442" w:rsidRDefault="00212442">
      <w:pPr>
        <w:spacing w:line="374" w:lineRule="auto"/>
        <w:sectPr w:rsidR="00212442">
          <w:pgSz w:w="11910" w:h="16840"/>
          <w:pgMar w:top="1020" w:right="840" w:bottom="280" w:left="300" w:header="734" w:footer="0" w:gutter="0"/>
          <w:cols w:space="720"/>
        </w:sectPr>
      </w:pPr>
    </w:p>
    <w:p w:rsidR="00212442" w:rsidRDefault="003C4775">
      <w:pPr>
        <w:pStyle w:val="a3"/>
        <w:spacing w:before="116" w:line="374" w:lineRule="auto"/>
        <w:ind w:right="149"/>
      </w:pPr>
      <w:r>
        <w:lastRenderedPageBreak/>
        <w:t xml:space="preserve">мотивам, поскольку в соответствии </w:t>
      </w:r>
      <w:hyperlink r:id="rId23">
        <w:r>
          <w:t>с абзацем вторым пункта 2 статьи 199</w:t>
        </w:r>
      </w:hyperlink>
      <w:r>
        <w:t xml:space="preserve"> Гражданского кодекса Российской Федерации истечение срока исковой давности является самостоятельным основанием для отказа в иске.</w:t>
      </w:r>
    </w:p>
    <w:p w:rsidR="00212442" w:rsidRDefault="003C4775">
      <w:pPr>
        <w:pStyle w:val="a3"/>
        <w:spacing w:line="374" w:lineRule="auto"/>
        <w:ind w:right="149" w:firstLine="540"/>
      </w:pPr>
      <w:r>
        <w:t xml:space="preserve">В этом </w:t>
      </w:r>
      <w:r>
        <w:rPr>
          <w:spacing w:val="-3"/>
        </w:rPr>
        <w:t xml:space="preserve">случае </w:t>
      </w:r>
      <w:r>
        <w:t xml:space="preserve">какие-либо </w:t>
      </w:r>
      <w:r>
        <w:rPr>
          <w:spacing w:val="-4"/>
        </w:rPr>
        <w:t xml:space="preserve">другие </w:t>
      </w:r>
      <w:r>
        <w:t>доводы и обоснование заявленного требования не подлежат рассмотрению, поскольку сам факт исте</w:t>
      </w:r>
      <w:r>
        <w:t xml:space="preserve">чения срока исковой давности с </w:t>
      </w:r>
      <w:r>
        <w:rPr>
          <w:spacing w:val="-3"/>
        </w:rPr>
        <w:t xml:space="preserve">учетом </w:t>
      </w:r>
      <w:hyperlink r:id="rId24">
        <w:r>
          <w:rPr>
            <w:spacing w:val="-3"/>
          </w:rPr>
          <w:t xml:space="preserve">пункта </w:t>
        </w:r>
        <w:r>
          <w:t xml:space="preserve">15 </w:t>
        </w:r>
      </w:hyperlink>
      <w:r>
        <w:t xml:space="preserve">постановления Пленума Верховного </w:t>
      </w:r>
      <w:r>
        <w:rPr>
          <w:spacing w:val="-5"/>
        </w:rPr>
        <w:t xml:space="preserve">Суда </w:t>
      </w:r>
      <w:r>
        <w:t>Российской Федерации от 29 сентябр</w:t>
      </w:r>
      <w:r>
        <w:t xml:space="preserve">я 2015 года № 43 </w:t>
      </w:r>
      <w:r>
        <w:rPr>
          <w:spacing w:val="-5"/>
        </w:rPr>
        <w:t xml:space="preserve">«О </w:t>
      </w:r>
      <w:r>
        <w:t xml:space="preserve">некоторых вопросах, связанных с применением норм Гражданского кодекса Российской Федерации об исковой давности» </w:t>
      </w:r>
      <w:r>
        <w:rPr>
          <w:spacing w:val="-3"/>
        </w:rPr>
        <w:t xml:space="preserve">служит </w:t>
      </w:r>
      <w:r>
        <w:t>самостоятельным основанием для отказа в иске.</w:t>
      </w:r>
    </w:p>
    <w:p w:rsidR="00212442" w:rsidRDefault="003C4775">
      <w:pPr>
        <w:pStyle w:val="a3"/>
        <w:spacing w:line="291" w:lineRule="exact"/>
        <w:ind w:left="1706"/>
      </w:pPr>
      <w:r>
        <w:t>Кассационная коллегия соглашается с выводами судебных инстанций.</w:t>
      </w:r>
    </w:p>
    <w:p w:rsidR="00212442" w:rsidRDefault="003C4775">
      <w:pPr>
        <w:pStyle w:val="a3"/>
        <w:spacing w:before="163" w:line="374" w:lineRule="auto"/>
        <w:ind w:right="146" w:firstLine="585"/>
      </w:pPr>
      <w:r>
        <w:t>Доводы</w:t>
      </w:r>
      <w:r>
        <w:t xml:space="preserve"> кассационных жалоб подлежат отклонению, в связи с тем, что указанные доводы были предметом исследования судов первой и апелляционной инстанции, с оценкой которых кассационная инстанция согласна.</w:t>
      </w:r>
    </w:p>
    <w:p w:rsidR="00212442" w:rsidRDefault="003C4775">
      <w:pPr>
        <w:pStyle w:val="a3"/>
        <w:spacing w:line="374" w:lineRule="auto"/>
        <w:ind w:right="146" w:firstLine="540"/>
      </w:pPr>
      <w:r>
        <w:t>Иная оценка заявителями жалоб установленных судом фактических обстоятельств дела и толкование положений закона не означает допущенной при рассмотрении дела судебной ошибки.</w:t>
      </w:r>
    </w:p>
    <w:p w:rsidR="00212442" w:rsidRDefault="003C4775">
      <w:pPr>
        <w:pStyle w:val="a3"/>
        <w:spacing w:line="374" w:lineRule="auto"/>
        <w:ind w:right="152" w:firstLine="605"/>
      </w:pPr>
      <w:r>
        <w:t xml:space="preserve">При рассмотрении дела и вынесении обжалуемых </w:t>
      </w:r>
      <w:r>
        <w:rPr>
          <w:spacing w:val="-3"/>
        </w:rPr>
        <w:t xml:space="preserve">судебных </w:t>
      </w:r>
      <w:r>
        <w:t xml:space="preserve">актов </w:t>
      </w:r>
      <w:r>
        <w:rPr>
          <w:spacing w:val="-5"/>
        </w:rPr>
        <w:t xml:space="preserve">суды </w:t>
      </w:r>
      <w:r>
        <w:t xml:space="preserve">первой и апелляционной инстанций установили все существенные для дела обстоятельства и дали им надлежащую правовую </w:t>
      </w:r>
      <w:r>
        <w:rPr>
          <w:spacing w:val="-3"/>
        </w:rPr>
        <w:t xml:space="preserve">оценку, </w:t>
      </w:r>
      <w:r>
        <w:t xml:space="preserve">выводы </w:t>
      </w:r>
      <w:r>
        <w:rPr>
          <w:spacing w:val="-4"/>
        </w:rPr>
        <w:t xml:space="preserve">судов </w:t>
      </w:r>
      <w:r>
        <w:t>основаны на всестороннем и полном исследовании доказательств по</w:t>
      </w:r>
      <w:r>
        <w:rPr>
          <w:spacing w:val="5"/>
        </w:rPr>
        <w:t xml:space="preserve"> </w:t>
      </w:r>
      <w:r>
        <w:rPr>
          <w:spacing w:val="-4"/>
        </w:rPr>
        <w:t>делу.</w:t>
      </w:r>
    </w:p>
    <w:p w:rsidR="00212442" w:rsidRDefault="003C4775">
      <w:pPr>
        <w:pStyle w:val="a3"/>
        <w:spacing w:line="374" w:lineRule="auto"/>
        <w:ind w:right="153" w:firstLine="540"/>
      </w:pPr>
      <w:r>
        <w:t>Нарушений норм процессуального права, которые могл</w:t>
      </w:r>
      <w:r>
        <w:t>и явиться основанием для отмены обжалуемых решения и постановления, кассационной инстанцией не установлено.</w:t>
      </w:r>
    </w:p>
    <w:p w:rsidR="00212442" w:rsidRDefault="003C4775">
      <w:pPr>
        <w:pStyle w:val="a3"/>
        <w:spacing w:line="374" w:lineRule="auto"/>
        <w:ind w:right="150" w:firstLine="565"/>
      </w:pPr>
      <w:r>
        <w:t xml:space="preserve">Таким образом, кассационные жалобы надлежит оставить без удовлетворения, а вынесенные по делу </w:t>
      </w:r>
      <w:r>
        <w:rPr>
          <w:spacing w:val="-3"/>
        </w:rPr>
        <w:t xml:space="preserve">судебные </w:t>
      </w:r>
      <w:r>
        <w:t>акты - без</w:t>
      </w:r>
      <w:r>
        <w:rPr>
          <w:spacing w:val="-14"/>
        </w:rPr>
        <w:t xml:space="preserve"> </w:t>
      </w:r>
      <w:r>
        <w:t>изменения.</w:t>
      </w:r>
    </w:p>
    <w:p w:rsidR="00212442" w:rsidRDefault="003C4775">
      <w:pPr>
        <w:pStyle w:val="a3"/>
        <w:spacing w:line="374" w:lineRule="auto"/>
        <w:ind w:right="147" w:firstLine="325"/>
      </w:pPr>
      <w:r>
        <w:t>Руководствуясь статьями</w:t>
      </w:r>
      <w:r>
        <w:t xml:space="preserve"> 176, 284-289 Арбитражного процессуального кодекса РФ, суд</w:t>
      </w:r>
    </w:p>
    <w:p w:rsidR="00212442" w:rsidRDefault="003C4775">
      <w:pPr>
        <w:pStyle w:val="a3"/>
        <w:spacing w:line="277" w:lineRule="exact"/>
        <w:ind w:left="2650" w:right="1676"/>
        <w:jc w:val="center"/>
      </w:pPr>
      <w:r>
        <w:t>ПОСТАНОВИЛ:</w:t>
      </w:r>
    </w:p>
    <w:p w:rsidR="00212442" w:rsidRDefault="00212442">
      <w:pPr>
        <w:pStyle w:val="a3"/>
        <w:ind w:left="0"/>
        <w:jc w:val="left"/>
        <w:rPr>
          <w:sz w:val="28"/>
        </w:rPr>
      </w:pPr>
    </w:p>
    <w:p w:rsidR="00212442" w:rsidRDefault="00212442">
      <w:pPr>
        <w:pStyle w:val="a3"/>
        <w:spacing w:before="10"/>
        <w:ind w:left="0"/>
        <w:jc w:val="left"/>
      </w:pPr>
    </w:p>
    <w:p w:rsidR="00212442" w:rsidRDefault="003C4775">
      <w:pPr>
        <w:pStyle w:val="a3"/>
        <w:spacing w:line="374" w:lineRule="auto"/>
        <w:ind w:right="147" w:hanging="5"/>
        <w:jc w:val="center"/>
      </w:pPr>
      <w:r>
        <w:t>решение Арбитражного суда Московской области от 25 декабря 2017 года, постановление Десятого арбитражного апелляционного суда от 17 апреля 2018 года</w:t>
      </w:r>
    </w:p>
    <w:p w:rsidR="00212442" w:rsidRDefault="00212442">
      <w:pPr>
        <w:spacing w:line="374" w:lineRule="auto"/>
        <w:jc w:val="center"/>
        <w:sectPr w:rsidR="00212442">
          <w:pgSz w:w="11910" w:h="16840"/>
          <w:pgMar w:top="1020" w:right="840" w:bottom="280" w:left="300" w:header="734" w:footer="0" w:gutter="0"/>
          <w:cols w:space="720"/>
        </w:sectPr>
      </w:pPr>
    </w:p>
    <w:p w:rsidR="00212442" w:rsidRDefault="003C4775">
      <w:pPr>
        <w:pStyle w:val="a3"/>
        <w:spacing w:before="116" w:line="374" w:lineRule="auto"/>
        <w:jc w:val="left"/>
      </w:pPr>
      <w:r>
        <w:lastRenderedPageBreak/>
        <w:t>по делу № А41-15</w:t>
      </w:r>
      <w:r>
        <w:t>952/17 оставить без изменения, кассационные жалобы – без удовлетворения.</w:t>
      </w:r>
    </w:p>
    <w:p w:rsidR="00212442" w:rsidRDefault="00212442">
      <w:pPr>
        <w:pStyle w:val="a3"/>
        <w:ind w:left="0"/>
        <w:jc w:val="left"/>
        <w:rPr>
          <w:sz w:val="28"/>
        </w:rPr>
      </w:pPr>
    </w:p>
    <w:p w:rsidR="00212442" w:rsidRDefault="00212442">
      <w:pPr>
        <w:pStyle w:val="a3"/>
        <w:ind w:left="0"/>
        <w:jc w:val="left"/>
        <w:rPr>
          <w:sz w:val="28"/>
        </w:rPr>
      </w:pPr>
    </w:p>
    <w:p w:rsidR="00212442" w:rsidRDefault="00212442">
      <w:pPr>
        <w:pStyle w:val="a3"/>
        <w:spacing w:before="7"/>
        <w:ind w:left="0"/>
        <w:jc w:val="left"/>
        <w:rPr>
          <w:sz w:val="24"/>
        </w:rPr>
      </w:pPr>
    </w:p>
    <w:p w:rsidR="00212442" w:rsidRDefault="003C4775">
      <w:pPr>
        <w:pStyle w:val="a3"/>
        <w:tabs>
          <w:tab w:val="left" w:pos="6622"/>
        </w:tabs>
        <w:ind w:left="0" w:right="1191"/>
        <w:jc w:val="right"/>
      </w:pPr>
      <w:r>
        <w:t>Председательствующий-судья</w:t>
      </w:r>
      <w:r>
        <w:tab/>
        <w:t>Е.Ю.</w:t>
      </w:r>
      <w:r>
        <w:rPr>
          <w:spacing w:val="-2"/>
        </w:rPr>
        <w:t xml:space="preserve"> </w:t>
      </w:r>
      <w:r>
        <w:t>Воронина</w:t>
      </w:r>
    </w:p>
    <w:p w:rsidR="00212442" w:rsidRDefault="00212442">
      <w:pPr>
        <w:pStyle w:val="a3"/>
        <w:ind w:left="0"/>
        <w:jc w:val="left"/>
        <w:rPr>
          <w:sz w:val="28"/>
        </w:rPr>
      </w:pPr>
    </w:p>
    <w:p w:rsidR="00212442" w:rsidRDefault="00212442">
      <w:pPr>
        <w:pStyle w:val="a3"/>
        <w:spacing w:before="10"/>
        <w:ind w:left="0"/>
        <w:jc w:val="left"/>
      </w:pPr>
    </w:p>
    <w:p w:rsidR="00212442" w:rsidRDefault="003C4775">
      <w:pPr>
        <w:pStyle w:val="a3"/>
        <w:tabs>
          <w:tab w:val="left" w:pos="6622"/>
        </w:tabs>
        <w:ind w:left="0" w:right="1285"/>
        <w:jc w:val="right"/>
      </w:pPr>
      <w:r>
        <w:rPr>
          <w:spacing w:val="-3"/>
        </w:rPr>
        <w:t>Судьи:</w:t>
      </w:r>
      <w:r>
        <w:rPr>
          <w:spacing w:val="-3"/>
        </w:rPr>
        <w:tab/>
      </w:r>
      <w:r>
        <w:t>Л.В. Завирюха</w:t>
      </w:r>
    </w:p>
    <w:p w:rsidR="00212442" w:rsidRDefault="00212442">
      <w:pPr>
        <w:pStyle w:val="a3"/>
        <w:ind w:left="0"/>
        <w:jc w:val="left"/>
        <w:rPr>
          <w:sz w:val="28"/>
        </w:rPr>
      </w:pPr>
    </w:p>
    <w:p w:rsidR="00212442" w:rsidRDefault="00212442">
      <w:pPr>
        <w:pStyle w:val="a3"/>
        <w:spacing w:before="11"/>
        <w:ind w:left="0"/>
        <w:jc w:val="left"/>
      </w:pPr>
    </w:p>
    <w:p w:rsidR="00212442" w:rsidRDefault="003C4775">
      <w:pPr>
        <w:pStyle w:val="a3"/>
        <w:ind w:left="0" w:right="1195"/>
        <w:jc w:val="right"/>
      </w:pPr>
      <w:r>
        <w:t>А.А. Малюшин</w:t>
      </w:r>
    </w:p>
    <w:sectPr w:rsidR="00212442">
      <w:pgSz w:w="11910" w:h="16840"/>
      <w:pgMar w:top="1020" w:right="840" w:bottom="280" w:left="3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75" w:rsidRDefault="003C4775">
      <w:r>
        <w:separator/>
      </w:r>
    </w:p>
  </w:endnote>
  <w:endnote w:type="continuationSeparator" w:id="0">
    <w:p w:rsidR="003C4775" w:rsidRDefault="003C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75" w:rsidRDefault="003C4775">
      <w:r>
        <w:separator/>
      </w:r>
    </w:p>
  </w:footnote>
  <w:footnote w:type="continuationSeparator" w:id="0">
    <w:p w:rsidR="003C4775" w:rsidRDefault="003C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42" w:rsidRDefault="003C477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5.7pt;width:10.5pt;height:16.4pt;z-index:-251658752;mso-position-horizontal-relative:page;mso-position-vertical-relative:page" filled="f" stroked="f">
          <v:textbox inset="0,0,0,0">
            <w:txbxContent>
              <w:p w:rsidR="00212442" w:rsidRDefault="003C4775">
                <w:pPr>
                  <w:pStyle w:val="a3"/>
                  <w:spacing w:before="9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134E2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12442"/>
    <w:rsid w:val="00212442"/>
    <w:rsid w:val="003C4775"/>
    <w:rsid w:val="00D1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%3D0FFA2F6A93D502A9976F83DAF6BB660B6A1DD55421F8F1DFC08A4C4D93E1E4AA656C130BF81AEC87k1z9M" TargetMode="External"/><Relationship Id="rId18" Type="http://schemas.openxmlformats.org/officeDocument/2006/relationships/hyperlink" Target="consultantplus://offline/ref%3D74B2E6239A9C931D2E706DCD9AB0DEBEA36732583FBE2C6379A41AD569F3EE18DB2AA504D07EAAF7s9n5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031363E94149243ADA0E304E2074CF90F28805C31CD4CD195910FF3172A7752BA2194AC6DE60750Ax0SF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0FFA2F6A93D502A9976F83DAF6BB660B6A1DD55421F8F1DFC08A4C4D93E1E4AA656C130BF81AEC88k1zDM" TargetMode="External"/><Relationship Id="rId17" Type="http://schemas.openxmlformats.org/officeDocument/2006/relationships/hyperlink" Target="consultantplus://offline/ref%3D74B2E6239A9C931D2E706DCD9AB0DEBEA36732583FBE2C6379A41AD569F3EE18DB2AA504D07EA4F7s9nD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%3D74B2E6239A9C931D2E706DCD9AB0DEBEA36732583FBE2C6379A41AD569F3EE18DB2AA504D07EA3F5s9n5O" TargetMode="External"/><Relationship Id="rId20" Type="http://schemas.openxmlformats.org/officeDocument/2006/relationships/hyperlink" Target="consultantplus://offline/ref%3D031363E94149243ADA0E304E2074CF90F28805C31CD4CD195910FF3172A7752BA2194AC6DE637308x0SA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%3D37664D8F6983F61919825234935C4D21AB427D47424796DFBA539664BA864A47164D57E467B692D2gCF0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0FFA2F6A93D502A9976F82DAF3C23358661DDB5727F7F382CA82154191E6kEzBM" TargetMode="External"/><Relationship Id="rId23" Type="http://schemas.openxmlformats.org/officeDocument/2006/relationships/hyperlink" Target="consultantplus://offline/ref%3D88AE98055877D82C8555EE2A27F515AA0774299314ECED56078C4CC9D850BED2308BE745B966F536j9qAI" TargetMode="External"/><Relationship Id="rId10" Type="http://schemas.openxmlformats.org/officeDocument/2006/relationships/hyperlink" Target="mailto:info@fasmo.arbitr.ru" TargetMode="External"/><Relationship Id="rId19" Type="http://schemas.openxmlformats.org/officeDocument/2006/relationships/hyperlink" Target="consultantplus://offline/ref%3D031363E94149243ADA0E304E2074CF90F28805C31CD4CD195910FF3172A7752BA2194AC6DE60750Cx0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smo.arbitr.ru/" TargetMode="External"/><Relationship Id="rId14" Type="http://schemas.openxmlformats.org/officeDocument/2006/relationships/hyperlink" Target="consultantplus://offline/ref%3D0FFA2F6A93D502A9976F83DAF6BB660B6A1DD55421F8F1DFC08A4C4D93E1E4AA656C130BF81AEC87k1zDM" TargetMode="External"/><Relationship Id="rId22" Type="http://schemas.openxmlformats.org/officeDocument/2006/relationships/hyperlink" Target="consultantplus://offline/ref%3D74B2E6239A9C931D2E706DCD9AB0DEBEA36732583FBE2C6379A41AD569F3EE18DB2AA504D07EA3F5s9n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dcterms:created xsi:type="dcterms:W3CDTF">2019-10-18T07:08:00Z</dcterms:created>
  <dcterms:modified xsi:type="dcterms:W3CDTF">2019-10-18T07:08:00Z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PDFsharp 1.50.4740 (www.pdfsharp.com)</vt:lpwstr>
  </property>
  <property fmtid="{D5CDD505-2E9C-101B-9397-08002B2CF9AE}" pid="4" name="LastSaved">
    <vt:filetime>2019-10-18T00:00:00Z</vt:filetime>
  </property>
</Properties>
</file>