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C" w:rsidRDefault="00D7085F">
      <w:pPr>
        <w:ind w:left="82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790575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42_6614997</w:t>
      </w:r>
    </w:p>
    <w:p w:rsidR="009D6A8C" w:rsidRDefault="00D708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2762250</wp:posOffset>
            </wp:positionH>
            <wp:positionV relativeFrom="paragraph">
              <wp:posOffset>180340</wp:posOffset>
            </wp:positionV>
            <wp:extent cx="638175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A8C" w:rsidRDefault="009D6A8C">
      <w:pPr>
        <w:spacing w:line="200" w:lineRule="exact"/>
        <w:rPr>
          <w:sz w:val="24"/>
          <w:szCs w:val="24"/>
        </w:rPr>
      </w:pPr>
    </w:p>
    <w:p w:rsidR="009D6A8C" w:rsidRDefault="009D6A8C">
      <w:pPr>
        <w:spacing w:line="200" w:lineRule="exact"/>
        <w:rPr>
          <w:sz w:val="24"/>
          <w:szCs w:val="24"/>
        </w:rPr>
      </w:pPr>
    </w:p>
    <w:p w:rsidR="009D6A8C" w:rsidRDefault="009D6A8C">
      <w:pPr>
        <w:spacing w:line="200" w:lineRule="exact"/>
        <w:rPr>
          <w:sz w:val="24"/>
          <w:szCs w:val="24"/>
        </w:rPr>
      </w:pPr>
    </w:p>
    <w:p w:rsidR="009D6A8C" w:rsidRDefault="009D6A8C">
      <w:pPr>
        <w:spacing w:line="200" w:lineRule="exact"/>
        <w:rPr>
          <w:sz w:val="24"/>
          <w:szCs w:val="24"/>
        </w:rPr>
      </w:pPr>
    </w:p>
    <w:p w:rsidR="009D6A8C" w:rsidRDefault="009D6A8C">
      <w:pPr>
        <w:spacing w:line="200" w:lineRule="exact"/>
        <w:rPr>
          <w:sz w:val="24"/>
          <w:szCs w:val="24"/>
        </w:rPr>
      </w:pPr>
    </w:p>
    <w:p w:rsidR="009D6A8C" w:rsidRDefault="009D6A8C">
      <w:pPr>
        <w:spacing w:line="335" w:lineRule="exact"/>
        <w:rPr>
          <w:sz w:val="24"/>
          <w:szCs w:val="24"/>
        </w:rPr>
      </w:pPr>
    </w:p>
    <w:p w:rsidR="009D6A8C" w:rsidRDefault="00D7085F">
      <w:pPr>
        <w:spacing w:line="232" w:lineRule="auto"/>
        <w:ind w:left="2000" w:right="2400" w:firstLine="990"/>
        <w:rPr>
          <w:sz w:val="20"/>
          <w:szCs w:val="20"/>
        </w:rPr>
      </w:pPr>
      <w:r>
        <w:rPr>
          <w:rFonts w:eastAsia="Times New Roman"/>
        </w:rPr>
        <w:t>Арбитражный суд Московской области 107053, проспект Академика Сахарова, д. 18, г. Москва</w:t>
      </w:r>
    </w:p>
    <w:p w:rsidR="009D6A8C" w:rsidRDefault="009D6A8C">
      <w:pPr>
        <w:spacing w:line="4" w:lineRule="exact"/>
        <w:rPr>
          <w:sz w:val="24"/>
          <w:szCs w:val="24"/>
        </w:rPr>
      </w:pPr>
    </w:p>
    <w:p w:rsidR="009D6A8C" w:rsidRDefault="00D7085F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t>http://asmo.arbitr.ru/</w:t>
      </w:r>
    </w:p>
    <w:p w:rsidR="009D6A8C" w:rsidRDefault="009D6A8C">
      <w:pPr>
        <w:spacing w:line="252" w:lineRule="exact"/>
        <w:rPr>
          <w:sz w:val="24"/>
          <w:szCs w:val="24"/>
        </w:rPr>
      </w:pPr>
    </w:p>
    <w:p w:rsidR="009D6A8C" w:rsidRDefault="00D7085F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t>Именем Российской Федерации</w:t>
      </w:r>
    </w:p>
    <w:p w:rsidR="009D6A8C" w:rsidRDefault="009D6A8C">
      <w:pPr>
        <w:spacing w:line="2" w:lineRule="exact"/>
        <w:rPr>
          <w:sz w:val="24"/>
          <w:szCs w:val="24"/>
        </w:rPr>
      </w:pPr>
    </w:p>
    <w:p w:rsidR="009D6A8C" w:rsidRDefault="00D7085F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Р Е Ш Е Н И Е</w:t>
      </w:r>
    </w:p>
    <w:p w:rsidR="009D6A8C" w:rsidRDefault="009D6A8C">
      <w:pPr>
        <w:sectPr w:rsidR="009D6A8C">
          <w:pgSz w:w="11900" w:h="16840"/>
          <w:pgMar w:top="699" w:right="845" w:bottom="1018" w:left="1440" w:header="0" w:footer="0" w:gutter="0"/>
          <w:cols w:space="720" w:equalWidth="0">
            <w:col w:w="9620"/>
          </w:cols>
        </w:sectPr>
      </w:pPr>
    </w:p>
    <w:p w:rsidR="009D6A8C" w:rsidRDefault="00D7085F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</w:rPr>
        <w:lastRenderedPageBreak/>
        <w:t>г.Москва</w:t>
      </w:r>
    </w:p>
    <w:p w:rsidR="009D6A8C" w:rsidRDefault="009D6A8C">
      <w:pPr>
        <w:spacing w:line="14" w:lineRule="exact"/>
        <w:rPr>
          <w:sz w:val="24"/>
          <w:szCs w:val="24"/>
        </w:rPr>
      </w:pPr>
    </w:p>
    <w:p w:rsidR="009D6A8C" w:rsidRDefault="00D7085F">
      <w:pPr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25 декабря 2017 года</w:t>
      </w:r>
    </w:p>
    <w:p w:rsidR="009D6A8C" w:rsidRDefault="00D708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D6A8C" w:rsidRDefault="009D6A8C">
      <w:pPr>
        <w:spacing w:line="233" w:lineRule="exact"/>
        <w:rPr>
          <w:sz w:val="24"/>
          <w:szCs w:val="24"/>
        </w:rPr>
      </w:pPr>
    </w:p>
    <w:p w:rsidR="009D6A8C" w:rsidRDefault="00D7085F">
      <w:pPr>
        <w:rPr>
          <w:sz w:val="20"/>
          <w:szCs w:val="20"/>
        </w:rPr>
      </w:pPr>
      <w:r>
        <w:rPr>
          <w:rFonts w:eastAsia="Times New Roman"/>
        </w:rPr>
        <w:t>Дело №А41-15952/17</w:t>
      </w:r>
    </w:p>
    <w:p w:rsidR="009D6A8C" w:rsidRDefault="009D6A8C">
      <w:pPr>
        <w:spacing w:line="200" w:lineRule="exact"/>
        <w:rPr>
          <w:sz w:val="24"/>
          <w:szCs w:val="24"/>
        </w:rPr>
      </w:pPr>
    </w:p>
    <w:p w:rsidR="009D6A8C" w:rsidRDefault="009D6A8C">
      <w:pPr>
        <w:sectPr w:rsidR="009D6A8C">
          <w:type w:val="continuous"/>
          <w:pgSz w:w="11900" w:h="16840"/>
          <w:pgMar w:top="699" w:right="845" w:bottom="1018" w:left="1440" w:header="0" w:footer="0" w:gutter="0"/>
          <w:cols w:num="2" w:space="720" w:equalWidth="0">
            <w:col w:w="6480" w:space="720"/>
            <w:col w:w="2420"/>
          </w:cols>
        </w:sectPr>
      </w:pPr>
    </w:p>
    <w:p w:rsidR="009D6A8C" w:rsidRDefault="009D6A8C">
      <w:pPr>
        <w:spacing w:line="64" w:lineRule="exact"/>
        <w:rPr>
          <w:sz w:val="24"/>
          <w:szCs w:val="24"/>
        </w:rPr>
      </w:pPr>
    </w:p>
    <w:p w:rsidR="009D6A8C" w:rsidRDefault="00D7085F">
      <w:pPr>
        <w:spacing w:line="252" w:lineRule="auto"/>
        <w:ind w:left="100" w:right="42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Резолютивная часть объявлена 04 декабря 2017 года Полный текст решения изготовлен 25 декабря 2017 года</w:t>
      </w:r>
    </w:p>
    <w:p w:rsidR="009D6A8C" w:rsidRDefault="009D6A8C">
      <w:pPr>
        <w:sectPr w:rsidR="009D6A8C">
          <w:type w:val="continuous"/>
          <w:pgSz w:w="11900" w:h="16840"/>
          <w:pgMar w:top="699" w:right="845" w:bottom="1018" w:left="1440" w:header="0" w:footer="0" w:gutter="0"/>
          <w:cols w:space="720" w:equalWidth="0">
            <w:col w:w="9620"/>
          </w:cols>
        </w:sectPr>
      </w:pPr>
    </w:p>
    <w:p w:rsidR="009D6A8C" w:rsidRDefault="009D6A8C">
      <w:pPr>
        <w:spacing w:line="253" w:lineRule="exact"/>
        <w:rPr>
          <w:sz w:val="24"/>
          <w:szCs w:val="24"/>
        </w:rPr>
      </w:pPr>
    </w:p>
    <w:p w:rsidR="009D6A8C" w:rsidRDefault="00D7085F">
      <w:pPr>
        <w:spacing w:line="227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</w:rPr>
        <w:t>Арбитражный суд Московской области в составе: судьи Сергеевой А.С., при ведении протокола судеб</w:t>
      </w:r>
      <w:r>
        <w:rPr>
          <w:rFonts w:eastAsia="Times New Roman"/>
        </w:rPr>
        <w:t xml:space="preserve">ного заседания секретарем судебного заседания Петкевич К.В., рассмотрев в судебном заседании дело №А41-15952/17 по исковому заявлению ПАО «МОСЭНЕРГОСБЫТ» к СНТ «КУЗНЕЧИКОВО» о взыскании денежных средств и по встречному исковому заявлению СНТ «КУЗНЕЧИКОВО» </w:t>
      </w:r>
      <w:r>
        <w:rPr>
          <w:rFonts w:eastAsia="Times New Roman"/>
        </w:rPr>
        <w:t>к ПАО «МОСЭНЕРГОСБЫТ» о взыскании денежных средств</w:t>
      </w:r>
    </w:p>
    <w:p w:rsidR="009D6A8C" w:rsidRDefault="00D7085F">
      <w:pPr>
        <w:spacing w:line="232" w:lineRule="auto"/>
        <w:ind w:left="800"/>
        <w:rPr>
          <w:sz w:val="20"/>
          <w:szCs w:val="20"/>
        </w:rPr>
      </w:pPr>
      <w:r>
        <w:rPr>
          <w:rFonts w:eastAsia="Times New Roman"/>
        </w:rPr>
        <w:t>третье лицо: ПАО «МОЭСК»</w:t>
      </w:r>
    </w:p>
    <w:p w:rsidR="009D6A8C" w:rsidRDefault="00D7085F">
      <w:pPr>
        <w:spacing w:line="227" w:lineRule="auto"/>
        <w:ind w:left="100"/>
        <w:rPr>
          <w:sz w:val="20"/>
          <w:szCs w:val="20"/>
        </w:rPr>
      </w:pPr>
      <w:r>
        <w:rPr>
          <w:rFonts w:eastAsia="Times New Roman"/>
        </w:rPr>
        <w:t>при участии сторон в судебном заседании согласно протоколу</w:t>
      </w:r>
    </w:p>
    <w:p w:rsidR="009D6A8C" w:rsidRDefault="009D6A8C">
      <w:pPr>
        <w:spacing w:line="253" w:lineRule="exact"/>
        <w:rPr>
          <w:sz w:val="24"/>
          <w:szCs w:val="24"/>
        </w:rPr>
      </w:pPr>
    </w:p>
    <w:p w:rsidR="009D6A8C" w:rsidRDefault="00D7085F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t>УСТАНОВИЛ:</w:t>
      </w:r>
    </w:p>
    <w:p w:rsidR="009D6A8C" w:rsidRDefault="009D6A8C">
      <w:pPr>
        <w:spacing w:line="265" w:lineRule="exact"/>
        <w:rPr>
          <w:sz w:val="24"/>
          <w:szCs w:val="24"/>
        </w:rPr>
      </w:pPr>
    </w:p>
    <w:p w:rsidR="009D6A8C" w:rsidRDefault="00D7085F">
      <w:pPr>
        <w:spacing w:line="227" w:lineRule="auto"/>
        <w:ind w:left="120" w:firstLine="705"/>
        <w:jc w:val="both"/>
        <w:rPr>
          <w:sz w:val="20"/>
          <w:szCs w:val="20"/>
        </w:rPr>
      </w:pPr>
      <w:r>
        <w:rPr>
          <w:rFonts w:eastAsia="Times New Roman"/>
        </w:rPr>
        <w:t xml:space="preserve">Публичное акционерное общество «Мосэнергосбыт» обратилось в Арбитражный суд Московской области с исковым </w:t>
      </w:r>
      <w:r>
        <w:rPr>
          <w:rFonts w:eastAsia="Times New Roman"/>
        </w:rPr>
        <w:t>заявлением к садоводческому некоммерческому товариществу «Кузнечиково» о взыскании задолженности за неучтенно потребленную электроэнергию за период с 02.06.2016 по 08.08.2016 в размере 1 812 283, 42 руб., а также законной неустойки в размере 180 032,77 руб</w:t>
      </w:r>
      <w:r>
        <w:rPr>
          <w:rFonts w:eastAsia="Times New Roman"/>
        </w:rPr>
        <w:t>.</w:t>
      </w:r>
    </w:p>
    <w:p w:rsidR="009D6A8C" w:rsidRDefault="009D6A8C">
      <w:pPr>
        <w:spacing w:line="4" w:lineRule="exact"/>
        <w:rPr>
          <w:sz w:val="24"/>
          <w:szCs w:val="24"/>
        </w:rPr>
      </w:pPr>
    </w:p>
    <w:p w:rsidR="009D6A8C" w:rsidRDefault="00D7085F">
      <w:pPr>
        <w:numPr>
          <w:ilvl w:val="1"/>
          <w:numId w:val="1"/>
        </w:numPr>
        <w:tabs>
          <w:tab w:val="left" w:pos="1140"/>
        </w:tabs>
        <w:spacing w:line="227" w:lineRule="auto"/>
        <w:ind w:left="120" w:right="20" w:firstLine="696"/>
        <w:jc w:val="both"/>
        <w:rPr>
          <w:rFonts w:eastAsia="Times New Roman"/>
        </w:rPr>
      </w:pPr>
      <w:r>
        <w:rPr>
          <w:rFonts w:eastAsia="Times New Roman"/>
        </w:rPr>
        <w:t>обоснование заявленных требований энергоснабжающая организация сослалась на потребление абонементом безучетной электроэнергии, выявленной в ходе проверки узла учета абонента, в результате чего образовалась взыскиваемая задолженность, начислена неустойка</w:t>
      </w:r>
      <w:r>
        <w:rPr>
          <w:rFonts w:eastAsia="Times New Roman"/>
        </w:rPr>
        <w:t>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left="820"/>
        <w:rPr>
          <w:rFonts w:eastAsia="Times New Roman"/>
        </w:rPr>
      </w:pPr>
      <w:r>
        <w:rPr>
          <w:rFonts w:eastAsia="Times New Roman"/>
        </w:rPr>
        <w:t>Иск заявлен на основании статей 8, 12, 309, 310, 314, 330, 424, 426, 450, 539, 540, 544, 546</w:t>
      </w:r>
    </w:p>
    <w:p w:rsidR="009D6A8C" w:rsidRDefault="00D7085F">
      <w:pPr>
        <w:spacing w:line="227" w:lineRule="auto"/>
        <w:ind w:left="120"/>
        <w:rPr>
          <w:rFonts w:eastAsia="Times New Roman"/>
        </w:rPr>
      </w:pPr>
      <w:r>
        <w:rPr>
          <w:rFonts w:eastAsia="Times New Roman"/>
        </w:rPr>
        <w:t>Гражданского кодекса Российской Федерации (далее - ГК РФ).</w:t>
      </w:r>
    </w:p>
    <w:p w:rsidR="009D6A8C" w:rsidRDefault="00D7085F">
      <w:pPr>
        <w:spacing w:line="227" w:lineRule="auto"/>
        <w:ind w:left="120" w:firstLine="705"/>
        <w:jc w:val="both"/>
        <w:rPr>
          <w:rFonts w:eastAsia="Times New Roman"/>
        </w:rPr>
      </w:pPr>
      <w:r>
        <w:rPr>
          <w:rFonts w:eastAsia="Times New Roman"/>
        </w:rPr>
        <w:t xml:space="preserve">До рассмотрения дела по существу, в порядке статьи 132 Арбитражного процессуального кодекса </w:t>
      </w:r>
      <w:r>
        <w:rPr>
          <w:rFonts w:eastAsia="Times New Roman"/>
        </w:rPr>
        <w:t>Российской Федерации, к производству суда принято встречное исковое заявление садоводческого некоммерческого товарищества «Кузнечиково» в котором абонент, просит взыскать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numPr>
          <w:ilvl w:val="0"/>
          <w:numId w:val="1"/>
        </w:numPr>
        <w:tabs>
          <w:tab w:val="left" w:pos="305"/>
        </w:tabs>
        <w:spacing w:line="227" w:lineRule="auto"/>
        <w:ind w:left="120" w:hanging="9"/>
        <w:jc w:val="both"/>
        <w:rPr>
          <w:rFonts w:eastAsia="Times New Roman"/>
        </w:rPr>
      </w:pPr>
      <w:r>
        <w:rPr>
          <w:rFonts w:eastAsia="Times New Roman"/>
        </w:rPr>
        <w:t xml:space="preserve">энергоснабжающей организации ПАО «Мосэнергосбыт» неосновательное обогащение в связи </w:t>
      </w:r>
      <w:r>
        <w:rPr>
          <w:rFonts w:eastAsia="Times New Roman"/>
        </w:rPr>
        <w:t>с применением последней потребителю повышенного расчетного коэффициента при расчете оплаты электрической энергии. В результате завышения расчетного коэффициента у СНТ «Кузнечиково» возникла переплата в размере 575 517, 79 руб.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left="820"/>
        <w:rPr>
          <w:rFonts w:eastAsia="Times New Roman"/>
        </w:rPr>
      </w:pPr>
      <w:r>
        <w:rPr>
          <w:rFonts w:eastAsia="Times New Roman"/>
        </w:rPr>
        <w:t>Встречный иск заявлен на осн</w:t>
      </w:r>
      <w:r>
        <w:rPr>
          <w:rFonts w:eastAsia="Times New Roman"/>
        </w:rPr>
        <w:t>овании статей 539, 541, 544, 1102,1105 ГК РФ.</w:t>
      </w:r>
    </w:p>
    <w:p w:rsidR="009D6A8C" w:rsidRDefault="00D7085F">
      <w:pPr>
        <w:spacing w:line="227" w:lineRule="auto"/>
        <w:ind w:left="100" w:firstLine="710"/>
        <w:rPr>
          <w:rFonts w:eastAsia="Times New Roman"/>
        </w:rPr>
      </w:pPr>
      <w:r>
        <w:rPr>
          <w:rFonts w:eastAsia="Times New Roman"/>
        </w:rPr>
        <w:t>Дело рассмотрено в отсутствие третьего лица - ПАО «МОЭСК», извещенного надлежащим образом о дате, месте и времени проведения судебного заседания.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left="120" w:right="20" w:firstLine="705"/>
        <w:jc w:val="both"/>
        <w:rPr>
          <w:rFonts w:eastAsia="Times New Roman"/>
        </w:rPr>
      </w:pPr>
      <w:r>
        <w:rPr>
          <w:rFonts w:eastAsia="Times New Roman"/>
        </w:rPr>
        <w:t xml:space="preserve">Представитель ПАО «Мосэнергосбыт» в судебном заседании </w:t>
      </w:r>
      <w:r>
        <w:rPr>
          <w:rFonts w:eastAsia="Times New Roman"/>
        </w:rPr>
        <w:t>настаивал на удовлетворении первоначального искового заявления в полном объеме, встречный иск не признал, просил отказать СНТ «Кузнечиково» в заявленных требованиях. Заявил о пропуске срока исковой давности.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numPr>
          <w:ilvl w:val="1"/>
          <w:numId w:val="1"/>
        </w:numPr>
        <w:tabs>
          <w:tab w:val="left" w:pos="1115"/>
        </w:tabs>
        <w:spacing w:line="227" w:lineRule="auto"/>
        <w:ind w:left="120" w:right="20" w:firstLine="696"/>
        <w:rPr>
          <w:rFonts w:eastAsia="Times New Roman"/>
        </w:rPr>
      </w:pPr>
      <w:r>
        <w:rPr>
          <w:rFonts w:eastAsia="Times New Roman"/>
        </w:rPr>
        <w:t>судебном заседании представители СНТ «Кузнечико</w:t>
      </w:r>
      <w:r>
        <w:rPr>
          <w:rFonts w:eastAsia="Times New Roman"/>
        </w:rPr>
        <w:t>во» просили в удовлетворении первоначального иска отказать, встречный иск удовлетворить.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right="20" w:firstLine="710"/>
        <w:rPr>
          <w:rFonts w:eastAsia="Times New Roman"/>
        </w:rPr>
      </w:pPr>
      <w:r>
        <w:rPr>
          <w:rFonts w:eastAsia="Times New Roman"/>
        </w:rPr>
        <w:t>Исследовав и оценив все представленные в материалы дела доказательства и документы в полном объеме, арбитражный суд установил следующее.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right="20" w:firstLine="710"/>
        <w:jc w:val="both"/>
        <w:rPr>
          <w:rFonts w:eastAsia="Times New Roman"/>
        </w:rPr>
      </w:pPr>
      <w:r>
        <w:rPr>
          <w:rFonts w:eastAsia="Times New Roman"/>
        </w:rPr>
        <w:t>Как усматривается из материа</w:t>
      </w:r>
      <w:r>
        <w:rPr>
          <w:rFonts w:eastAsia="Times New Roman"/>
        </w:rPr>
        <w:t>лов дела между ПАО «Мосэнергосбыт» (истец, МЭС) и СНТ «Кузнечиково»» (ответчик, абонент) заключен Договор энергоснабжения №90154229 от 13.02.2012 г. на снабжение электрической энергией (далее -Договор). В соответствии с п. 1.1 Договора, МЭС обязуется осуще</w:t>
      </w:r>
      <w:r>
        <w:rPr>
          <w:rFonts w:eastAsia="Times New Roman"/>
        </w:rPr>
        <w:t>ствлять продажу Абоненту электрическую энергию (мощность), а Абонент</w:t>
      </w:r>
    </w:p>
    <w:p w:rsidR="009D6A8C" w:rsidRDefault="009D6A8C">
      <w:pPr>
        <w:sectPr w:rsidR="009D6A8C">
          <w:type w:val="continuous"/>
          <w:pgSz w:w="11900" w:h="16840"/>
          <w:pgMar w:top="699" w:right="845" w:bottom="1018" w:left="1440" w:header="0" w:footer="0" w:gutter="0"/>
          <w:cols w:space="720" w:equalWidth="0">
            <w:col w:w="9620"/>
          </w:cols>
        </w:sectPr>
      </w:pPr>
    </w:p>
    <w:p w:rsidR="009D6A8C" w:rsidRDefault="00D7085F">
      <w:pPr>
        <w:tabs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42_6614997</w:t>
      </w:r>
    </w:p>
    <w:p w:rsidR="009D6A8C" w:rsidRDefault="009D6A8C">
      <w:pPr>
        <w:spacing w:line="285" w:lineRule="exact"/>
        <w:rPr>
          <w:sz w:val="20"/>
          <w:szCs w:val="20"/>
        </w:rPr>
      </w:pPr>
    </w:p>
    <w:p w:rsidR="009D6A8C" w:rsidRDefault="00D7085F">
      <w:pPr>
        <w:spacing w:line="228" w:lineRule="auto"/>
        <w:ind w:right="105"/>
        <w:jc w:val="both"/>
        <w:rPr>
          <w:sz w:val="20"/>
          <w:szCs w:val="20"/>
        </w:rPr>
      </w:pPr>
      <w:r>
        <w:rPr>
          <w:rFonts w:eastAsia="Times New Roman"/>
        </w:rPr>
        <w:t>обязуется оплачивать поставленную электрическую энергию (мощность) и оказанные услуги в порядке, предусмотренном Договором.</w:t>
      </w:r>
    </w:p>
    <w:p w:rsidR="009D6A8C" w:rsidRDefault="00D7085F">
      <w:pPr>
        <w:spacing w:line="227" w:lineRule="auto"/>
        <w:ind w:right="105" w:firstLine="710"/>
        <w:jc w:val="both"/>
        <w:rPr>
          <w:sz w:val="20"/>
          <w:szCs w:val="20"/>
        </w:rPr>
      </w:pPr>
      <w:r>
        <w:rPr>
          <w:rFonts w:eastAsia="Times New Roman"/>
        </w:rPr>
        <w:t>Энергопринимающее оборудо</w:t>
      </w:r>
      <w:r>
        <w:rPr>
          <w:rFonts w:eastAsia="Times New Roman"/>
        </w:rPr>
        <w:t>вание абонента расположено по адресу: Московская область, Клинский район, вблизи д. Кузнечиково.</w:t>
      </w:r>
    </w:p>
    <w:p w:rsidR="009D6A8C" w:rsidRDefault="009D6A8C">
      <w:pPr>
        <w:spacing w:line="1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85" w:firstLine="710"/>
        <w:jc w:val="both"/>
        <w:rPr>
          <w:sz w:val="20"/>
          <w:szCs w:val="20"/>
        </w:rPr>
      </w:pPr>
      <w:r>
        <w:rPr>
          <w:rFonts w:eastAsia="Times New Roman"/>
        </w:rPr>
        <w:t xml:space="preserve">Согласно 2.2.3. договора МЭС имеет право проводить на объектах Абонемента в присутствии представителя (с возможным привлечением представителя сетевой </w:t>
      </w:r>
      <w:r>
        <w:rPr>
          <w:rFonts w:eastAsia="Times New Roman"/>
        </w:rPr>
        <w:t>организации или иных третьих лиц) работы, связанные в проверкой, калибровкой, программированием, пломбированием средств измерений, а также иные виды работ, связанные с обслуживанием средств измерений, осуществлять контроль за соблюдением установленных режи</w:t>
      </w:r>
      <w:r>
        <w:rPr>
          <w:rFonts w:eastAsia="Times New Roman"/>
        </w:rPr>
        <w:t>мов и согласованных объемов энергопотребления, снятие контрольных показаний, проверку условий эксплуатации и сохранности средств измерения абонента, имеет право проводить на объектах абонента в присутствии его представителя работы, связанные с поверкой, ка</w:t>
      </w:r>
      <w:r>
        <w:rPr>
          <w:rFonts w:eastAsia="Times New Roman"/>
        </w:rPr>
        <w:t>либровкой, программированием, пломбированием средств измерений, а также другие виды работ, связанные с обслуживанием средств измерений.</w:t>
      </w:r>
    </w:p>
    <w:p w:rsidR="009D6A8C" w:rsidRDefault="009D6A8C">
      <w:pPr>
        <w:spacing w:line="8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85" w:firstLine="710"/>
        <w:jc w:val="both"/>
        <w:rPr>
          <w:sz w:val="20"/>
          <w:szCs w:val="20"/>
        </w:rPr>
      </w:pPr>
      <w:r>
        <w:rPr>
          <w:rFonts w:eastAsia="Times New Roman"/>
        </w:rPr>
        <w:t>Определение объема, расчет стоимости и порядок оплаты установлен сторонами в разделе 4 Договора с Приложением №4.</w:t>
      </w:r>
    </w:p>
    <w:p w:rsidR="009D6A8C" w:rsidRDefault="009D6A8C">
      <w:pPr>
        <w:spacing w:line="1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105" w:firstLine="710"/>
        <w:jc w:val="both"/>
        <w:rPr>
          <w:sz w:val="20"/>
          <w:szCs w:val="20"/>
        </w:rPr>
      </w:pPr>
      <w:r>
        <w:rPr>
          <w:rFonts w:eastAsia="Times New Roman"/>
        </w:rPr>
        <w:t>Реес</w:t>
      </w:r>
      <w:r>
        <w:rPr>
          <w:rFonts w:eastAsia="Times New Roman"/>
        </w:rPr>
        <w:t>тр источников электроснабжения, энергопринимающего оборудования и средств коммерческого учета электроэнергии и мощности нашел свое отражение в Приложении №2 к Договору.</w:t>
      </w:r>
    </w:p>
    <w:p w:rsidR="009D6A8C" w:rsidRDefault="009D6A8C">
      <w:pPr>
        <w:spacing w:line="2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85" w:firstLine="710"/>
        <w:jc w:val="both"/>
        <w:rPr>
          <w:sz w:val="20"/>
          <w:szCs w:val="20"/>
        </w:rPr>
      </w:pPr>
      <w:r>
        <w:rPr>
          <w:rFonts w:eastAsia="Times New Roman"/>
        </w:rPr>
        <w:t>08 августа 2016 работниками ПАО «Мосэнергосбыт» была проведена проверка потребления эл</w:t>
      </w:r>
      <w:r>
        <w:rPr>
          <w:rFonts w:eastAsia="Times New Roman"/>
        </w:rPr>
        <w:t>ектрической энергии и составлен Акт № 8-30 проверки узла учета электроэнергии. На основании данного акта 15.08.2016 был составлен Акт № 000536К-СУ от 15.08.2018г. (Акт). Согласно Акту был осуществлен расчет безучетного потребления электрической энергии с 0</w:t>
      </w:r>
      <w:r>
        <w:rPr>
          <w:rFonts w:eastAsia="Times New Roman"/>
        </w:rPr>
        <w:t>2.06.2016 по 08.08.2016, размер которой составил 1 813 283, 42 руб. Оплата электроэнергии ответчиком за спорный период не была произведена.</w:t>
      </w:r>
    </w:p>
    <w:p w:rsidR="009D6A8C" w:rsidRDefault="009D6A8C">
      <w:pPr>
        <w:spacing w:line="5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105" w:firstLine="710"/>
        <w:jc w:val="both"/>
        <w:rPr>
          <w:sz w:val="20"/>
          <w:szCs w:val="20"/>
        </w:rPr>
      </w:pPr>
      <w:r>
        <w:rPr>
          <w:rFonts w:eastAsia="Times New Roman"/>
        </w:rPr>
        <w:t xml:space="preserve">Таким образом, по мнению истца, задолженность ответчика составляет 1 813 283, 42 руб., за взысканием которой истец </w:t>
      </w:r>
      <w:r>
        <w:rPr>
          <w:rFonts w:eastAsia="Times New Roman"/>
        </w:rPr>
        <w:t>обратился в Арбитражный суд Московской области.</w:t>
      </w:r>
    </w:p>
    <w:p w:rsidR="009D6A8C" w:rsidRDefault="00D7085F">
      <w:pPr>
        <w:spacing w:line="229" w:lineRule="auto"/>
        <w:ind w:left="700"/>
        <w:rPr>
          <w:sz w:val="20"/>
          <w:szCs w:val="20"/>
        </w:rPr>
      </w:pPr>
      <w:r>
        <w:rPr>
          <w:rFonts w:eastAsia="Times New Roman"/>
        </w:rPr>
        <w:t>Претензия истца направленная ответчику осталась без удовлетворения.</w:t>
      </w:r>
    </w:p>
    <w:p w:rsidR="009D6A8C" w:rsidRDefault="00D7085F">
      <w:pPr>
        <w:spacing w:line="227" w:lineRule="auto"/>
        <w:ind w:right="85" w:firstLine="710"/>
        <w:jc w:val="both"/>
        <w:rPr>
          <w:sz w:val="20"/>
          <w:szCs w:val="20"/>
        </w:rPr>
      </w:pPr>
      <w:r>
        <w:rPr>
          <w:rFonts w:eastAsia="Times New Roman"/>
        </w:rPr>
        <w:t xml:space="preserve">Протокольным определением суда отказано в удовлетворении ходатайства СНТ «КУЗНЕЧИКОВО» об оставлении первоначального иска без рассмотрения, </w:t>
      </w:r>
      <w:r>
        <w:rPr>
          <w:rFonts w:eastAsia="Times New Roman"/>
        </w:rPr>
        <w:t>ввиду соблюдения истцом претензионного порядка урегулирования спора: претензия истца направлена ответчику 28.12.2016 по адресу: 141620, Область Московская, район Клинский, деревня Кузнечиково, и получена последним 03.02.2017.</w:t>
      </w:r>
    </w:p>
    <w:p w:rsidR="009D6A8C" w:rsidRDefault="009D6A8C">
      <w:pPr>
        <w:spacing w:line="4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85" w:firstLine="710"/>
        <w:jc w:val="both"/>
        <w:rPr>
          <w:sz w:val="20"/>
          <w:szCs w:val="20"/>
        </w:rPr>
      </w:pPr>
      <w:r>
        <w:rPr>
          <w:rFonts w:eastAsia="Times New Roman"/>
        </w:rPr>
        <w:t>Суд соглашается с доводами СН</w:t>
      </w:r>
      <w:r>
        <w:rPr>
          <w:rFonts w:eastAsia="Times New Roman"/>
        </w:rPr>
        <w:t>Т «КУЗНЕЧИКОВО» о том, что Акт проверки и акт о неучтенном потреблении составлены с нарушениями действующего законодательства и условий Договора между истцом и ответчиком. Единственными доказательствами доводов истца являются Акт № 8-30 проверки узла учета</w:t>
      </w:r>
      <w:r>
        <w:rPr>
          <w:rFonts w:eastAsia="Times New Roman"/>
        </w:rPr>
        <w:t xml:space="preserve"> электроэнергии от 08.08.2016 и Акт № 000536К-СУ от 15.08.2018 о неучтенном потреблении электрической энергии, которые составлены с нарушением Основных положений.</w:t>
      </w:r>
    </w:p>
    <w:p w:rsidR="009D6A8C" w:rsidRDefault="009D6A8C">
      <w:pPr>
        <w:spacing w:line="5" w:lineRule="exact"/>
        <w:rPr>
          <w:sz w:val="20"/>
          <w:szCs w:val="20"/>
        </w:rPr>
      </w:pPr>
    </w:p>
    <w:p w:rsidR="009D6A8C" w:rsidRDefault="00D7085F">
      <w:pPr>
        <w:numPr>
          <w:ilvl w:val="0"/>
          <w:numId w:val="2"/>
        </w:numPr>
        <w:tabs>
          <w:tab w:val="left" w:pos="985"/>
        </w:tabs>
        <w:spacing w:line="227" w:lineRule="auto"/>
        <w:ind w:right="85" w:firstLine="701"/>
        <w:jc w:val="both"/>
        <w:rPr>
          <w:rFonts w:eastAsia="Times New Roman"/>
        </w:rPr>
      </w:pPr>
      <w:r>
        <w:rPr>
          <w:rFonts w:eastAsia="Times New Roman"/>
        </w:rPr>
        <w:t>Акте № 8-30 проверки узла учета электроэнергии от 08.08.2016 указано, что были выявлены нару</w:t>
      </w:r>
      <w:r>
        <w:rPr>
          <w:rFonts w:eastAsia="Times New Roman"/>
        </w:rPr>
        <w:t xml:space="preserve">шения в виде отсутствии пломбы на электрическом счетчике, исп. колодки, трансформаторы тока. В то же время в приложении №15.1 к данному акту сведений о том, что пломбы отсутствуют на счетчике Меркурий 230-ART-03 PQCSIGDN №07097615 не имеется. В Заключении </w:t>
      </w:r>
      <w:r>
        <w:rPr>
          <w:rFonts w:eastAsia="Times New Roman"/>
        </w:rPr>
        <w:t>данного акта имеется отметка «Схемы проверены и верны, пригодны для коммерческого расчета».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numPr>
          <w:ilvl w:val="0"/>
          <w:numId w:val="2"/>
        </w:numPr>
        <w:tabs>
          <w:tab w:val="left" w:pos="970"/>
        </w:tabs>
        <w:spacing w:line="227" w:lineRule="auto"/>
        <w:ind w:right="85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Акте от 15.08.2018 отражено, что отсутствуют пломбы и знаки визуального контроля, нанесенных на измерительный комплекс, а именно клеменная крышка, электрического </w:t>
      </w:r>
      <w:r>
        <w:rPr>
          <w:rFonts w:eastAsia="Times New Roman"/>
        </w:rPr>
        <w:t>счетчика №№07097615, испытательной колодке МОЭСК и трансформаторах тока.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jc w:val="both"/>
        <w:rPr>
          <w:rFonts w:eastAsia="Times New Roman"/>
        </w:rPr>
      </w:pPr>
      <w:r>
        <w:rPr>
          <w:rFonts w:eastAsia="Times New Roman"/>
        </w:rPr>
        <w:t>Согласно п. 172 Основных положений, проверки расчетных приборов учета включают: визуальный осмотр схемы подключения энергопринимающих устройств (объектов по производству электрическо</w:t>
      </w:r>
      <w:r>
        <w:rPr>
          <w:rFonts w:eastAsia="Times New Roman"/>
        </w:rPr>
        <w:t>й энергии (мощности)) и схем соединения приборов учета; -проверку соответствия приборов учета требованиям Основных положений; проверку состояния прибора учета; проверку наличия и сохранности контрольных пломб и знаков визуального контроля; также снятие пок</w:t>
      </w:r>
      <w:r>
        <w:rPr>
          <w:rFonts w:eastAsia="Times New Roman"/>
        </w:rPr>
        <w:t>азаний приборов учета.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spacing w:line="227" w:lineRule="auto"/>
        <w:ind w:right="105" w:firstLine="710"/>
        <w:rPr>
          <w:rFonts w:eastAsia="Times New Roman"/>
        </w:rPr>
      </w:pPr>
      <w:r>
        <w:rPr>
          <w:rFonts w:eastAsia="Times New Roman"/>
        </w:rPr>
        <w:t>Указанная проверка должна проводиться не реже 1 раза в год и может проводиться в виде инструментальной проверки.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jc w:val="both"/>
        <w:rPr>
          <w:rFonts w:eastAsia="Times New Roman"/>
        </w:rPr>
      </w:pPr>
      <w:r>
        <w:rPr>
          <w:rFonts w:eastAsia="Times New Roman"/>
        </w:rPr>
        <w:t>Как предусмотрено пунктом 192 Основных положений, по факту выявленного безучетного или бездоговорного потребления элек</w:t>
      </w:r>
      <w:r>
        <w:rPr>
          <w:rFonts w:eastAsia="Times New Roman"/>
        </w:rPr>
        <w:t>трической энергии сетевой организацией составляется акт о неучтенном потреблении электрической энергии, в соответствии с требованиями, установленными пунктом 193 Основных положений.</w:t>
      </w:r>
    </w:p>
    <w:p w:rsidR="009D6A8C" w:rsidRDefault="009D6A8C">
      <w:pPr>
        <w:sectPr w:rsidR="009D6A8C">
          <w:pgSz w:w="11900" w:h="16840"/>
          <w:pgMar w:top="699" w:right="1440" w:bottom="613" w:left="860" w:header="0" w:footer="0" w:gutter="0"/>
          <w:cols w:space="720" w:equalWidth="0">
            <w:col w:w="9605"/>
          </w:cols>
        </w:sectPr>
      </w:pPr>
    </w:p>
    <w:p w:rsidR="009D6A8C" w:rsidRDefault="00D7085F">
      <w:pPr>
        <w:tabs>
          <w:tab w:val="left" w:pos="8220"/>
        </w:tabs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42_6614997</w:t>
      </w:r>
    </w:p>
    <w:p w:rsidR="009D6A8C" w:rsidRDefault="009D6A8C">
      <w:pPr>
        <w:spacing w:line="285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00" w:right="20" w:firstLine="710"/>
        <w:jc w:val="both"/>
        <w:rPr>
          <w:sz w:val="20"/>
          <w:szCs w:val="20"/>
        </w:rPr>
      </w:pPr>
      <w:r>
        <w:rPr>
          <w:rFonts w:eastAsia="Times New Roman"/>
        </w:rPr>
        <w:t>Согласно пункту 193 Основных положений</w:t>
      </w:r>
      <w:r>
        <w:rPr>
          <w:rFonts w:eastAsia="Times New Roman"/>
        </w:rPr>
        <w:t xml:space="preserve"> в акте о неучтенном потреблении электрической энергии должны содержаться данные: о лице, осуществляющем безучетное или бездоговорное потребление электрической энергии; о способе и месте осуществления безучетного или бездоговорного потребления электрическо</w:t>
      </w:r>
      <w:r>
        <w:rPr>
          <w:rFonts w:eastAsia="Times New Roman"/>
        </w:rPr>
        <w:t>й энергии: о приборах учета на момент составления акта;</w:t>
      </w:r>
    </w:p>
    <w:p w:rsidR="009D6A8C" w:rsidRDefault="009D6A8C">
      <w:pPr>
        <w:spacing w:line="4" w:lineRule="exact"/>
        <w:rPr>
          <w:sz w:val="20"/>
          <w:szCs w:val="20"/>
        </w:rPr>
      </w:pPr>
    </w:p>
    <w:p w:rsidR="009D6A8C" w:rsidRDefault="00D7085F">
      <w:pPr>
        <w:numPr>
          <w:ilvl w:val="0"/>
          <w:numId w:val="3"/>
        </w:numPr>
        <w:tabs>
          <w:tab w:val="left" w:pos="285"/>
        </w:tabs>
        <w:spacing w:line="227" w:lineRule="auto"/>
        <w:ind w:left="100" w:hanging="9"/>
        <w:jc w:val="both"/>
        <w:rPr>
          <w:rFonts w:eastAsia="Times New Roman"/>
        </w:rPr>
      </w:pPr>
      <w:r>
        <w:rPr>
          <w:rFonts w:eastAsia="Times New Roman"/>
        </w:rPr>
        <w:t>дате предыдущей проверки приборов учета - в случае выявления безучетного потребления, дате предыдущей проверки технического состояния объектов электросетевого хозяйства в месте, где выявлено бездогов</w:t>
      </w:r>
      <w:r>
        <w:rPr>
          <w:rFonts w:eastAsia="Times New Roman"/>
        </w:rPr>
        <w:t xml:space="preserve">орное потребление электрической энергии, в случае выявления бездоговорного потребления; объяснения лица, осуществляющего безучетное или бездоговорное потребление электрической энергии, относительно выявленного факта; замечания к составленному акту (при их </w:t>
      </w:r>
      <w:r>
        <w:rPr>
          <w:rFonts w:eastAsia="Times New Roman"/>
        </w:rPr>
        <w:t>наличии)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 xml:space="preserve">При составлении акта о неучтенном потреблении электрической энергии должен присутствовать потребитель, осуществляющий безучетное потребление (обслуживающий его гарантирующий поставщик (энергосбытовая, энергоснабжающая организация)), или лицо, </w:t>
      </w:r>
      <w:r>
        <w:rPr>
          <w:rFonts w:eastAsia="Times New Roman"/>
        </w:rPr>
        <w:t>осуществляющее бездоговорное потребление электрической энергии.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right="20" w:firstLine="710"/>
        <w:jc w:val="both"/>
        <w:rPr>
          <w:rFonts w:eastAsia="Times New Roman"/>
        </w:rPr>
      </w:pPr>
      <w:r>
        <w:rPr>
          <w:rFonts w:eastAsia="Times New Roman"/>
        </w:rPr>
        <w:t xml:space="preserve">Отказ лица, осуществляющего безучетное или бездоговорное потребление электрической энергии, от подписания составленного акта о неучтенном потреблении электрической энергии, а также его отказ </w:t>
      </w:r>
      <w:r>
        <w:rPr>
          <w:rFonts w:eastAsia="Times New Roman"/>
        </w:rPr>
        <w:t>присутствовать при составлении акта должен быть зафиксирован с указанием причин такого отказа в акте о неучтенном потреблении электрической энергии, составленном в присутствии 2 незаинтересованных лиц.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>Таким образом, Основными положениями, регламентирующи</w:t>
      </w:r>
      <w:r>
        <w:rPr>
          <w:rFonts w:eastAsia="Times New Roman"/>
        </w:rPr>
        <w:t>ми порядок выявления и оформления фактов безучетного и бездоговорного потребления электроэнергии, предусмотрена необходимость указания в акте о безучетном (бездоговорном) потреблении электроэнергии лица, осуществляющего такое потребление, а также обязатель</w:t>
      </w:r>
      <w:r>
        <w:rPr>
          <w:rFonts w:eastAsia="Times New Roman"/>
        </w:rPr>
        <w:t>ное присутствие такого лица при составлении акта.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>Согласно п. 170 Основных положений в случае,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</w:t>
      </w:r>
      <w:r>
        <w:rPr>
          <w:rFonts w:eastAsia="Times New Roman"/>
        </w:rPr>
        <w:t>тросетевого хозяйства), в границах которых установлен расчетный прибор учета, сетевая организация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</w:t>
      </w:r>
      <w:r>
        <w:rPr>
          <w:rFonts w:eastAsia="Times New Roman"/>
        </w:rPr>
        <w:t>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</w:r>
    </w:p>
    <w:p w:rsidR="009D6A8C" w:rsidRDefault="009D6A8C">
      <w:pPr>
        <w:spacing w:line="5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>Из буквального содержания указанных пунктов Основных положений следует обязательное участие представителя</w:t>
      </w:r>
      <w:r>
        <w:rPr>
          <w:rFonts w:eastAsia="Times New Roman"/>
        </w:rPr>
        <w:t xml:space="preserve"> потребителя в составлении акта, либо наличие доказательств извещения потребителя о времени и месте проведения проверки, а также участие 2-х незаинтересованных представителей при отказе представителя потребителя от участия или в подписании акта.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>Материала</w:t>
      </w:r>
      <w:r>
        <w:rPr>
          <w:rFonts w:eastAsia="Times New Roman"/>
        </w:rPr>
        <w:t>ми дела установлено, что истцом составлен Акт № 8-30 проверки узла учета электроэнергии от 08.08.2016 и на основании последнего, в последующем, составлен Акт № 000536К-СУ от 15.08.2016 о неучтенном потреблении электрической энергии.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right="20" w:firstLine="710"/>
        <w:jc w:val="both"/>
        <w:rPr>
          <w:rFonts w:eastAsia="Times New Roman"/>
        </w:rPr>
      </w:pPr>
      <w:r>
        <w:rPr>
          <w:rFonts w:eastAsia="Times New Roman"/>
        </w:rPr>
        <w:t>Вместе с тем, полномоч</w:t>
      </w:r>
      <w:r>
        <w:rPr>
          <w:rFonts w:eastAsia="Times New Roman"/>
        </w:rPr>
        <w:t>ия лица, указанного в акте №8-30 проверки узла учета электроэнергии в качестве представителя СНТ «Кузнечиково» (Глухова СИ.), не подтверждены. На момент составления рассматриваемых актов указанное лицо в штате ответчика не состояло, что подтверждено справк</w:t>
      </w:r>
      <w:r>
        <w:rPr>
          <w:rFonts w:eastAsia="Times New Roman"/>
        </w:rPr>
        <w:t>ой ответчика.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>Доводы истца о том, что полномочия лица, участвующего в проверке узла учета электроэнергии и уведомленного о месте, дате и времени составлении акта о безучетном потреблении электроэнергии, могут явствовать из обстановки не могут быть признан</w:t>
      </w:r>
      <w:r>
        <w:rPr>
          <w:rFonts w:eastAsia="Times New Roman"/>
        </w:rPr>
        <w:t>ы состоятельными так как уведомление о проверке 08.08.2016 истец в адрес ответчика не высылал. Последний не знал о том, что осуществляется проверка узла учета электроэнергии, соответственно не направлял своего представителя, о месте, дате и времени составл</w:t>
      </w:r>
      <w:r>
        <w:rPr>
          <w:rFonts w:eastAsia="Times New Roman"/>
        </w:rPr>
        <w:t>ения акта о безучетном потреблении электроэнергии уведомлен не был.</w:t>
      </w:r>
    </w:p>
    <w:p w:rsidR="009D6A8C" w:rsidRDefault="009D6A8C">
      <w:pPr>
        <w:spacing w:line="5" w:lineRule="exact"/>
        <w:rPr>
          <w:rFonts w:eastAsia="Times New Roman"/>
        </w:rPr>
      </w:pPr>
    </w:p>
    <w:p w:rsidR="009D6A8C" w:rsidRDefault="00D7085F">
      <w:pPr>
        <w:spacing w:line="227" w:lineRule="auto"/>
        <w:ind w:left="100" w:firstLine="710"/>
        <w:jc w:val="both"/>
        <w:rPr>
          <w:rFonts w:eastAsia="Times New Roman"/>
        </w:rPr>
      </w:pPr>
      <w:r>
        <w:rPr>
          <w:rFonts w:eastAsia="Times New Roman"/>
        </w:rPr>
        <w:t xml:space="preserve">Представленный истцом приказ №21 от 12.01.2016 ООО «РостСантим Сервис» о назначении Глухова СЮ. ответственным за электрохозяйство СНТ «Кузнечиково» не свидетельствует о наделении </w:t>
      </w:r>
      <w:r>
        <w:rPr>
          <w:rFonts w:eastAsia="Times New Roman"/>
        </w:rPr>
        <w:t>полномочиями представлять ответчика поскольку: данный приказ был издан и направлен истцу не ответчиком; приказ издан на основании договора №Т06/06-15 от 01.06.2015 (копия имеется у истца) срок действия которого ограничен и на момент проверки его действие и</w:t>
      </w:r>
      <w:r>
        <w:rPr>
          <w:rFonts w:eastAsia="Times New Roman"/>
        </w:rPr>
        <w:t>стек, о чем МЭС не мог не знать; договор №Т06/06-15 от 01.06.2015 не наделяет ООО «РостСантим Сервис» представлять интересы СНТ «Кузнечиково»; в материалы дела не представлено доказательств того, что доступ к трансформаторным устройствам и приборам учета С</w:t>
      </w:r>
      <w:r>
        <w:rPr>
          <w:rFonts w:eastAsia="Times New Roman"/>
        </w:rPr>
        <w:t>НТ «Кузнечиково» закрыт для третьих лиц и невозможен без присутствия полномочного представителя ответчика по первоначальному иску.</w:t>
      </w:r>
    </w:p>
    <w:p w:rsidR="009D6A8C" w:rsidRDefault="009D6A8C">
      <w:pPr>
        <w:sectPr w:rsidR="009D6A8C">
          <w:pgSz w:w="11900" w:h="16840"/>
          <w:pgMar w:top="699" w:right="845" w:bottom="858" w:left="1440" w:header="0" w:footer="0" w:gutter="0"/>
          <w:cols w:space="720" w:equalWidth="0">
            <w:col w:w="9620"/>
          </w:cols>
        </w:sectPr>
      </w:pPr>
    </w:p>
    <w:p w:rsidR="009D6A8C" w:rsidRDefault="00D7085F">
      <w:pPr>
        <w:tabs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42_6614997</w:t>
      </w:r>
    </w:p>
    <w:p w:rsidR="009D6A8C" w:rsidRDefault="009D6A8C">
      <w:pPr>
        <w:spacing w:line="285" w:lineRule="exact"/>
        <w:rPr>
          <w:sz w:val="20"/>
          <w:szCs w:val="20"/>
        </w:rPr>
      </w:pPr>
    </w:p>
    <w:p w:rsidR="009D6A8C" w:rsidRDefault="00D7085F">
      <w:pPr>
        <w:numPr>
          <w:ilvl w:val="0"/>
          <w:numId w:val="4"/>
        </w:numPr>
        <w:tabs>
          <w:tab w:val="left" w:pos="980"/>
        </w:tabs>
        <w:spacing w:line="227" w:lineRule="auto"/>
        <w:ind w:right="105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нарушение приведенных норм права проверка приборов учета и составление акта о безучетном </w:t>
      </w:r>
      <w:r>
        <w:rPr>
          <w:rFonts w:eastAsia="Times New Roman"/>
        </w:rPr>
        <w:t>потреблении электрической энергии была проведена истцом без согласования с ответчиком даты и времени проведения контрольного мероприятия и в отсутствие представителей последнего.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right="105" w:firstLine="710"/>
        <w:rPr>
          <w:rFonts w:eastAsia="Times New Roman"/>
        </w:rPr>
      </w:pPr>
      <w:r>
        <w:rPr>
          <w:rFonts w:eastAsia="Times New Roman"/>
        </w:rPr>
        <w:t>Доказательств извещения ответчика о дате и времени проведения проверки и сос</w:t>
      </w:r>
      <w:r>
        <w:rPr>
          <w:rFonts w:eastAsia="Times New Roman"/>
        </w:rPr>
        <w:t>тавления актов в материалы дела не представлено.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rPr>
          <w:rFonts w:eastAsia="Times New Roman"/>
        </w:rPr>
      </w:pPr>
      <w:r>
        <w:rPr>
          <w:rFonts w:eastAsia="Times New Roman"/>
        </w:rPr>
        <w:t>Акт № 000536К-СУ от 15.08.2018 о неучтенном потреблении электрической энергии своевременно не направлен ответчику.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jc w:val="both"/>
        <w:rPr>
          <w:rFonts w:eastAsia="Times New Roman"/>
        </w:rPr>
      </w:pPr>
      <w:r>
        <w:rPr>
          <w:rFonts w:eastAsia="Times New Roman"/>
        </w:rPr>
        <w:t>Так, согласно реестра отправленных почтовых отправлений от 06.12.2016 ответчику по адресу:</w:t>
      </w:r>
      <w:r>
        <w:rPr>
          <w:rFonts w:eastAsia="Times New Roman"/>
        </w:rPr>
        <w:t xml:space="preserve"> 127055, Москва, ул. Тихвинская, д. 3 кв. 2 на имя Самсонова В.А., тогда как согласно Договору энергоснабжения №90154229 адрес ответчика г. Москва, ул. Тихвинская, д. 3, корп. 1 кв. 204.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jc w:val="both"/>
        <w:rPr>
          <w:rFonts w:eastAsia="Times New Roman"/>
        </w:rPr>
      </w:pPr>
      <w:r>
        <w:rPr>
          <w:rFonts w:eastAsia="Times New Roman"/>
        </w:rPr>
        <w:t xml:space="preserve">Более того, исходя из буквального толкования положений пунктов 192, </w:t>
      </w:r>
      <w:r>
        <w:rPr>
          <w:rFonts w:eastAsia="Times New Roman"/>
        </w:rPr>
        <w:t>193 Постановления N 442, Акт о безучетном потреблении электрической энергии должен быть направлен на фиксацию установленного во время проверки факта, а потому обязан составляться непосредственно в момент проверки.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right="105" w:firstLine="710"/>
        <w:jc w:val="both"/>
        <w:rPr>
          <w:rFonts w:eastAsia="Times New Roman"/>
        </w:rPr>
      </w:pPr>
      <w:r>
        <w:rPr>
          <w:rFonts w:eastAsia="Times New Roman"/>
        </w:rPr>
        <w:t>Акт № 000536К-СУ от 15.08.2018 о неучтенн</w:t>
      </w:r>
      <w:r>
        <w:rPr>
          <w:rFonts w:eastAsia="Times New Roman"/>
        </w:rPr>
        <w:t>ом потреблении электрической энергии составлен 15.08.2016 по адресу: Московская область, г.Клин, ул. Транспортная, д. 6, т. е. вне места нахождения электрооборудования ответчика.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jc w:val="both"/>
        <w:rPr>
          <w:rFonts w:eastAsia="Times New Roman"/>
        </w:rPr>
      </w:pPr>
      <w:r>
        <w:rPr>
          <w:rFonts w:eastAsia="Times New Roman"/>
        </w:rPr>
        <w:t>Таким образом, истцом акт составлен через неделю после проверки, вне места п</w:t>
      </w:r>
      <w:r>
        <w:rPr>
          <w:rFonts w:eastAsia="Times New Roman"/>
        </w:rPr>
        <w:t>роверки, без осмотра совместно с ответчиком либо незаинтересованными лицами места подключения энергопринимающих устройств к электрическим сетям.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right="85" w:firstLine="710"/>
        <w:jc w:val="both"/>
        <w:rPr>
          <w:rFonts w:eastAsia="Times New Roman"/>
        </w:rPr>
      </w:pPr>
      <w:r>
        <w:rPr>
          <w:rFonts w:eastAsia="Times New Roman"/>
        </w:rPr>
        <w:t>Положения п. 193 Основных положений обязывают обеспечить присутствие при составлении акта потребителя, осущест</w:t>
      </w:r>
      <w:r>
        <w:rPr>
          <w:rFonts w:eastAsia="Times New Roman"/>
        </w:rPr>
        <w:t xml:space="preserve">вляющего безучетное потребление электрической энергии, удостоверить его отказ присутствовать при составлении акта или отказ подписать акт незаинтересованными лицами, которые присутствовали при составлении акта. Удостоверение отказа в подписании акта имеет </w:t>
      </w:r>
      <w:r>
        <w:rPr>
          <w:rFonts w:eastAsia="Times New Roman"/>
        </w:rPr>
        <w:t>свое правовое значение не в том, чтобы подтвердить, что представитель организации не явился в офис ПАО «МОЭСК» для подписания акта. Напротив, участие незаинтересованных лиц призвано удостоверить в месте проводимой проверки, в случае отказа потребителя от у</w:t>
      </w:r>
      <w:r>
        <w:rPr>
          <w:rFonts w:eastAsia="Times New Roman"/>
        </w:rPr>
        <w:t>частия в проверке и от подписания акта, сам факт выявленного нарушения потребления электрической энергии, а также факт того, что представитель ответчика присутствовал при проверке, участвовал в ней, но отказался от подписания акта, либо отказался от участи</w:t>
      </w:r>
      <w:r>
        <w:rPr>
          <w:rFonts w:eastAsia="Times New Roman"/>
        </w:rPr>
        <w:t>я в проверке. Истец же, искусственно разделив во времени два события (проверку на объекте и</w:t>
      </w:r>
    </w:p>
    <w:p w:rsidR="009D6A8C" w:rsidRDefault="009D6A8C">
      <w:pPr>
        <w:spacing w:line="8" w:lineRule="exact"/>
        <w:rPr>
          <w:rFonts w:eastAsia="Times New Roman"/>
        </w:rPr>
      </w:pPr>
    </w:p>
    <w:p w:rsidR="009D6A8C" w:rsidRDefault="00D7085F">
      <w:pPr>
        <w:ind w:right="85"/>
        <w:rPr>
          <w:rFonts w:eastAsia="Times New Roman"/>
        </w:rPr>
      </w:pPr>
      <w:r>
        <w:rPr>
          <w:rFonts w:eastAsia="Times New Roman"/>
        </w:rPr>
        <w:t xml:space="preserve">составление акта о бездоговорном потреблении), лишил акт о бездоговорн ом потреблении доказательственной силы подтверждения юридически значимого факта обнаружения </w:t>
      </w:r>
      <w:r>
        <w:rPr>
          <w:rFonts w:eastAsia="Times New Roman"/>
        </w:rPr>
        <w:t>нарушения потребления электроэнергии</w:t>
      </w:r>
    </w:p>
    <w:p w:rsidR="009D6A8C" w:rsidRDefault="009D6A8C">
      <w:pPr>
        <w:spacing w:line="201" w:lineRule="exact"/>
        <w:rPr>
          <w:rFonts w:eastAsia="Times New Roman"/>
        </w:rPr>
      </w:pPr>
    </w:p>
    <w:p w:rsidR="009D6A8C" w:rsidRDefault="00D7085F">
      <w:pPr>
        <w:spacing w:line="227" w:lineRule="auto"/>
        <w:ind w:right="165" w:firstLine="705"/>
        <w:jc w:val="both"/>
        <w:rPr>
          <w:rFonts w:eastAsia="Times New Roman"/>
        </w:rPr>
      </w:pPr>
      <w:r>
        <w:rPr>
          <w:rFonts w:eastAsia="Times New Roman"/>
        </w:rPr>
        <w:t xml:space="preserve">Из Акта № 000536К-СУ от 15.08.2018 о неучтенном потреблении электрической энергии не следует и не может следовать, что незаинтересованные лица подтверждают сам факт обнаружения бездоговорного потребления в виде </w:t>
      </w:r>
      <w:r>
        <w:rPr>
          <w:rFonts w:eastAsia="Times New Roman"/>
        </w:rPr>
        <w:t>самовольного подключения к сетям, поскольку сама проверка проводилась неделю назад в отсутствии представителя ответчика.</w:t>
      </w:r>
    </w:p>
    <w:p w:rsidR="009D6A8C" w:rsidRDefault="009D6A8C">
      <w:pPr>
        <w:spacing w:line="3" w:lineRule="exact"/>
        <w:rPr>
          <w:rFonts w:eastAsia="Times New Roman"/>
        </w:rPr>
      </w:pPr>
    </w:p>
    <w:p w:rsidR="009D6A8C" w:rsidRDefault="00D7085F">
      <w:pPr>
        <w:spacing w:line="227" w:lineRule="auto"/>
        <w:ind w:right="165" w:firstLine="705"/>
        <w:jc w:val="both"/>
        <w:rPr>
          <w:rFonts w:eastAsia="Times New Roman"/>
        </w:rPr>
      </w:pPr>
      <w:r>
        <w:rPr>
          <w:rFonts w:eastAsia="Times New Roman"/>
        </w:rPr>
        <w:t>Акт о безучетном потреблении электрической энергии, составленный не по месту нахождения энергопринимающих устройств на основании актов</w:t>
      </w:r>
      <w:r>
        <w:rPr>
          <w:rFonts w:eastAsia="Times New Roman"/>
        </w:rPr>
        <w:t xml:space="preserve"> осмотра не может быть признан надлежащим доказательством факта и объема безучетного потребления.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right="165" w:firstLine="705"/>
        <w:jc w:val="both"/>
        <w:rPr>
          <w:rFonts w:eastAsia="Times New Roman"/>
        </w:rPr>
      </w:pPr>
      <w:r>
        <w:rPr>
          <w:rFonts w:eastAsia="Times New Roman"/>
        </w:rPr>
        <w:t>Таким образом, судом установлено, что Акт № 8-30 проверки узла учета электроэнергии от 08.08.2016 и Акт № 000536К-СУ от 15.08.2018 о неучтенном потреблении э</w:t>
      </w:r>
      <w:r>
        <w:rPr>
          <w:rFonts w:eastAsia="Times New Roman"/>
        </w:rPr>
        <w:t>лектрической энергии составлены в нарушение положений пункта 193 Основных положений Постановления Правительства Российской Федерации от 04 мая 2012 года № 442, и не соответствует критериям допустимости по правилам статьи 68 Арбитражного процессуального код</w:t>
      </w:r>
      <w:r>
        <w:rPr>
          <w:rFonts w:eastAsia="Times New Roman"/>
        </w:rPr>
        <w:t>екса Российской Федерации, а именно: акты составлены в отсутствие представителей ответчика, не по месту нахождения энергопринимающих устройств, на основании актов осмотра, спустя длительное время после оформления акта осмотра и не могут быть признаны надле</w:t>
      </w:r>
      <w:r>
        <w:rPr>
          <w:rFonts w:eastAsia="Times New Roman"/>
        </w:rPr>
        <w:t>жащим доказательством факта и объема бездоговорного потребления.</w:t>
      </w:r>
    </w:p>
    <w:p w:rsidR="009D6A8C" w:rsidRDefault="009D6A8C">
      <w:pPr>
        <w:spacing w:line="7" w:lineRule="exact"/>
        <w:rPr>
          <w:rFonts w:eastAsia="Times New Roman"/>
        </w:rPr>
      </w:pPr>
    </w:p>
    <w:p w:rsidR="009D6A8C" w:rsidRDefault="00D7085F">
      <w:pPr>
        <w:numPr>
          <w:ilvl w:val="1"/>
          <w:numId w:val="4"/>
        </w:numPr>
        <w:tabs>
          <w:tab w:val="left" w:pos="970"/>
        </w:tabs>
        <w:spacing w:line="227" w:lineRule="auto"/>
        <w:ind w:left="20" w:right="125" w:firstLine="706"/>
        <w:jc w:val="both"/>
        <w:rPr>
          <w:rFonts w:eastAsia="Times New Roman"/>
        </w:rPr>
      </w:pPr>
      <w:r>
        <w:rPr>
          <w:rFonts w:eastAsia="Times New Roman"/>
        </w:rPr>
        <w:t>нарушение статьи 65 Арбитражного процессуального кодекса РФ истец не представил надлежащие доказательства совершения ответчиком действий, направленных на вмешательство в работу прибора учета</w:t>
      </w:r>
      <w:r>
        <w:rPr>
          <w:rFonts w:eastAsia="Times New Roman"/>
        </w:rPr>
        <w:t xml:space="preserve"> или выразившихся в несоблюдении ответчиком установленных договором сроков извещения об утрате (неисправности) прибора учета, совершения ответчиком иных действий, приведших к искажению данных о фактическом объеме потребления электрической энергии, также св</w:t>
      </w:r>
      <w:r>
        <w:rPr>
          <w:rFonts w:eastAsia="Times New Roman"/>
        </w:rPr>
        <w:t>идетельствующих о безучетном потреблении электрической энергии.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numPr>
          <w:ilvl w:val="1"/>
          <w:numId w:val="4"/>
        </w:numPr>
        <w:tabs>
          <w:tab w:val="left" w:pos="960"/>
        </w:tabs>
        <w:spacing w:line="227" w:lineRule="auto"/>
        <w:ind w:left="960" w:hanging="229"/>
        <w:rPr>
          <w:rFonts w:eastAsia="Times New Roman"/>
        </w:rPr>
      </w:pPr>
      <w:r>
        <w:rPr>
          <w:rFonts w:eastAsia="Times New Roman"/>
        </w:rPr>
        <w:t>силу положений ст. 71 АПК РФ арбитражный суд оценивает доказательства по своему</w:t>
      </w:r>
    </w:p>
    <w:p w:rsidR="009D6A8C" w:rsidRDefault="009D6A8C">
      <w:pPr>
        <w:sectPr w:rsidR="009D6A8C">
          <w:pgSz w:w="11900" w:h="16840"/>
          <w:pgMar w:top="699" w:right="1440" w:bottom="611" w:left="860" w:header="0" w:footer="0" w:gutter="0"/>
          <w:cols w:space="720" w:equalWidth="0">
            <w:col w:w="9605"/>
          </w:cols>
        </w:sectPr>
      </w:pPr>
    </w:p>
    <w:p w:rsidR="009D6A8C" w:rsidRDefault="00D7085F">
      <w:pPr>
        <w:tabs>
          <w:tab w:val="left" w:pos="8220"/>
        </w:tabs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42_6614997</w:t>
      </w:r>
    </w:p>
    <w:p w:rsidR="009D6A8C" w:rsidRDefault="009D6A8C">
      <w:pPr>
        <w:spacing w:line="285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</w:rPr>
        <w:t>внутреннему убеждению, основанному на всестороннем, полном, объективном и н</w:t>
      </w:r>
      <w:r>
        <w:rPr>
          <w:rFonts w:eastAsia="Times New Roman"/>
        </w:rPr>
        <w:t>епосредственном исследовании имеющихся в деле доказательств. Каждое доказательство подлежит оценке арбитражным судом наряду с другими доказательствами и никакие доказательства не имеют для арбитражного суда заранее установленной силы.</w:t>
      </w:r>
    </w:p>
    <w:p w:rsidR="009D6A8C" w:rsidRDefault="009D6A8C">
      <w:pPr>
        <w:spacing w:line="4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20" w:right="40" w:firstLine="710"/>
        <w:jc w:val="both"/>
        <w:rPr>
          <w:sz w:val="20"/>
          <w:szCs w:val="20"/>
        </w:rPr>
      </w:pPr>
      <w:r>
        <w:rPr>
          <w:rFonts w:eastAsia="Times New Roman"/>
        </w:rPr>
        <w:t xml:space="preserve">При изложенных </w:t>
      </w:r>
      <w:r>
        <w:rPr>
          <w:rFonts w:eastAsia="Times New Roman"/>
        </w:rPr>
        <w:t>обстоятельствах суд приходит к выводу об отсутствии оснований для удовлетворения первоначального иска.</w:t>
      </w:r>
    </w:p>
    <w:p w:rsidR="009D6A8C" w:rsidRDefault="009D6A8C">
      <w:pPr>
        <w:spacing w:line="2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20" w:right="40" w:firstLine="710"/>
        <w:jc w:val="both"/>
        <w:rPr>
          <w:sz w:val="20"/>
          <w:szCs w:val="20"/>
        </w:rPr>
      </w:pPr>
      <w:r>
        <w:rPr>
          <w:rFonts w:eastAsia="Times New Roman"/>
        </w:rPr>
        <w:t>Что касается требований по встречному иску, то суд также считает их неподлежащими удовлетворению, исходя из следующего.</w:t>
      </w:r>
    </w:p>
    <w:p w:rsidR="009D6A8C" w:rsidRDefault="009D6A8C">
      <w:pPr>
        <w:spacing w:line="1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40" w:firstLine="715"/>
        <w:jc w:val="both"/>
        <w:rPr>
          <w:sz w:val="20"/>
          <w:szCs w:val="20"/>
        </w:rPr>
      </w:pPr>
      <w:r>
        <w:rPr>
          <w:rFonts w:eastAsia="Times New Roman"/>
        </w:rPr>
        <w:t>Как следует из материалов дела,</w:t>
      </w:r>
      <w:r>
        <w:rPr>
          <w:rFonts w:eastAsia="Times New Roman"/>
        </w:rPr>
        <w:t xml:space="preserve"> во исполнение Договора энергоснабжения №90154229 от 13.02.2012 ответчик (истец по первоначальному иску) поставлял истцу (ответчику по первоначальному иску) электроэнергию. Согласно акту разграничения балансовой принадлежности и эксплуатационной ответствен</w:t>
      </w:r>
      <w:r>
        <w:rPr>
          <w:rFonts w:eastAsia="Times New Roman"/>
        </w:rPr>
        <w:t>ности электроустановок и сооружений от 06.10.2011 у ответчика является субабонентом и во второй очереди имеет счетчик учета электрической энергии Меркурий 230-ART-03 PQCSIGDN с GSM модемом и трансформатор с коэффициентом трансформации 120.</w:t>
      </w:r>
    </w:p>
    <w:p w:rsidR="009D6A8C" w:rsidRDefault="009D6A8C">
      <w:pPr>
        <w:spacing w:line="5" w:lineRule="exact"/>
        <w:rPr>
          <w:sz w:val="20"/>
          <w:szCs w:val="20"/>
        </w:rPr>
      </w:pPr>
    </w:p>
    <w:p w:rsidR="009D6A8C" w:rsidRDefault="00D7085F">
      <w:pPr>
        <w:numPr>
          <w:ilvl w:val="1"/>
          <w:numId w:val="5"/>
        </w:numPr>
        <w:tabs>
          <w:tab w:val="left" w:pos="1025"/>
        </w:tabs>
        <w:spacing w:line="238" w:lineRule="auto"/>
        <w:ind w:left="100" w:right="40" w:firstLine="70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то же время, со</w:t>
      </w:r>
      <w:r>
        <w:rPr>
          <w:rFonts w:eastAsia="Times New Roman"/>
          <w:sz w:val="21"/>
          <w:szCs w:val="21"/>
        </w:rPr>
        <w:t>гласно предоставленному истцом (ответчиком по первоначальному иску) акту разграничения балансовой принадлежности и эксплуатационной ответственности электроустановок</w:t>
      </w:r>
    </w:p>
    <w:p w:rsidR="009D6A8C" w:rsidRDefault="009D6A8C">
      <w:pPr>
        <w:spacing w:line="1" w:lineRule="exact"/>
        <w:rPr>
          <w:rFonts w:eastAsia="Times New Roman"/>
          <w:sz w:val="21"/>
          <w:szCs w:val="21"/>
        </w:rPr>
      </w:pPr>
    </w:p>
    <w:p w:rsidR="009D6A8C" w:rsidRDefault="00D7085F">
      <w:pPr>
        <w:numPr>
          <w:ilvl w:val="0"/>
          <w:numId w:val="5"/>
        </w:numPr>
        <w:tabs>
          <w:tab w:val="left" w:pos="260"/>
        </w:tabs>
        <w:spacing w:line="227" w:lineRule="auto"/>
        <w:ind w:left="260" w:hanging="164"/>
        <w:rPr>
          <w:rFonts w:eastAsia="Times New Roman"/>
        </w:rPr>
      </w:pPr>
      <w:r>
        <w:rPr>
          <w:rFonts w:eastAsia="Times New Roman"/>
        </w:rPr>
        <w:t>сооружений от 27.08.2013, у последний использует трансформатор с трансформацией 100.</w:t>
      </w:r>
    </w:p>
    <w:p w:rsidR="009D6A8C" w:rsidRDefault="009D6A8C">
      <w:pPr>
        <w:spacing w:line="1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00" w:right="40" w:firstLine="760"/>
        <w:jc w:val="both"/>
        <w:rPr>
          <w:sz w:val="20"/>
          <w:szCs w:val="20"/>
        </w:rPr>
      </w:pPr>
      <w:r>
        <w:rPr>
          <w:rFonts w:eastAsia="Times New Roman"/>
        </w:rPr>
        <w:t>Посл</w:t>
      </w:r>
      <w:r>
        <w:rPr>
          <w:rFonts w:eastAsia="Times New Roman"/>
        </w:rPr>
        <w:t>е заключения Договора энергоснабжения №90154229 от 13.02.2012 истец (ответчик по первоначальному иску) оплачивал потребляемую электроэнергию, определяя ее объем по показаниям прибора учета с умножением на коэффициент 120.</w:t>
      </w:r>
    </w:p>
    <w:p w:rsidR="009D6A8C" w:rsidRDefault="009D6A8C">
      <w:pPr>
        <w:spacing w:line="3" w:lineRule="exact"/>
        <w:rPr>
          <w:sz w:val="20"/>
          <w:szCs w:val="20"/>
        </w:rPr>
      </w:pPr>
    </w:p>
    <w:p w:rsidR="009D6A8C" w:rsidRDefault="00D7085F">
      <w:pPr>
        <w:numPr>
          <w:ilvl w:val="1"/>
          <w:numId w:val="6"/>
        </w:numPr>
        <w:tabs>
          <w:tab w:val="left" w:pos="1050"/>
        </w:tabs>
        <w:spacing w:line="250" w:lineRule="auto"/>
        <w:ind w:left="100" w:right="20" w:firstLine="70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то же время, согласно акту </w:t>
      </w:r>
      <w:r>
        <w:rPr>
          <w:rFonts w:eastAsia="Times New Roman"/>
          <w:sz w:val="20"/>
          <w:szCs w:val="20"/>
        </w:rPr>
        <w:t>разграничения балансовой принадлежности и эксплуатационной ответственности электроустановок и сооружений от 27.08.2013 прибор учета (счетчик) Меркурий 230-ART-03 PQCSIGDN фактически подключен через трансформаторы тока с номиналом 500/5 с коэффициентом тран</w:t>
      </w:r>
      <w:r>
        <w:rPr>
          <w:rFonts w:eastAsia="Times New Roman"/>
          <w:sz w:val="20"/>
          <w:szCs w:val="20"/>
        </w:rPr>
        <w:t>сформации 100. Наличие в рассматриваемый период данных трансформаторов также находит свое подтверждение Актами № 8-30 проверки узла учета электроэнергии от 08.08.2016 и Актом</w:t>
      </w:r>
    </w:p>
    <w:p w:rsidR="009D6A8C" w:rsidRDefault="009D6A8C">
      <w:pPr>
        <w:spacing w:line="2" w:lineRule="exact"/>
        <w:rPr>
          <w:rFonts w:eastAsia="Times New Roman"/>
          <w:sz w:val="20"/>
          <w:szCs w:val="20"/>
        </w:rPr>
      </w:pPr>
    </w:p>
    <w:p w:rsidR="009D6A8C" w:rsidRDefault="00D7085F">
      <w:pPr>
        <w:numPr>
          <w:ilvl w:val="0"/>
          <w:numId w:val="6"/>
        </w:numPr>
        <w:tabs>
          <w:tab w:val="left" w:pos="360"/>
        </w:tabs>
        <w:spacing w:line="227" w:lineRule="auto"/>
        <w:ind w:left="360" w:hanging="264"/>
        <w:rPr>
          <w:rFonts w:eastAsia="Times New Roman"/>
        </w:rPr>
      </w:pPr>
      <w:r>
        <w:rPr>
          <w:rFonts w:eastAsia="Times New Roman"/>
        </w:rPr>
        <w:t xml:space="preserve">000536К-СУ от 15.08.2018 составленными ответчиком (истцом по первоначальному </w:t>
      </w:r>
      <w:r>
        <w:rPr>
          <w:rFonts w:eastAsia="Times New Roman"/>
        </w:rPr>
        <w:t>иску).</w:t>
      </w:r>
    </w:p>
    <w:p w:rsidR="009D6A8C" w:rsidRDefault="009D6A8C">
      <w:pPr>
        <w:spacing w:line="1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00" w:right="40" w:firstLine="710"/>
        <w:jc w:val="both"/>
        <w:rPr>
          <w:sz w:val="20"/>
          <w:szCs w:val="20"/>
        </w:rPr>
      </w:pPr>
      <w:r>
        <w:rPr>
          <w:rFonts w:eastAsia="Times New Roman"/>
        </w:rPr>
        <w:t>По мнению СНТ «Кузнечиково», в связи с тем, что ответчиком (истцом по первоначальному иску) при исчислении оплаты за поставленную электрическую электроэнергию применялся повышенный тариф трансформации он неосновательно получал оплату за электроэнер</w:t>
      </w:r>
      <w:r>
        <w:rPr>
          <w:rFonts w:eastAsia="Times New Roman"/>
        </w:rPr>
        <w:t>гию, которую фактически не поставлял.</w:t>
      </w:r>
    </w:p>
    <w:p w:rsidR="009D6A8C" w:rsidRDefault="009D6A8C">
      <w:pPr>
        <w:spacing w:line="3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120" w:right="40" w:firstLine="725"/>
        <w:jc w:val="both"/>
        <w:rPr>
          <w:sz w:val="20"/>
          <w:szCs w:val="20"/>
        </w:rPr>
      </w:pPr>
      <w:r>
        <w:rPr>
          <w:rFonts w:eastAsia="Times New Roman"/>
        </w:rPr>
        <w:t>Ответчик (истец по первоначальному иску) заявил об истечении срока исковой давности и применении положений ст. 199 ГК РФ по исковым требованиям истца (ответчика по первоначальному иску), заявляя, что период заявленных</w:t>
      </w:r>
      <w:r>
        <w:rPr>
          <w:rFonts w:eastAsia="Times New Roman"/>
        </w:rPr>
        <w:t xml:space="preserve"> встречных требований следует исчислять с 30.08.2014.</w:t>
      </w:r>
    </w:p>
    <w:p w:rsidR="009D6A8C" w:rsidRDefault="009D6A8C">
      <w:pPr>
        <w:spacing w:line="4" w:lineRule="exact"/>
        <w:rPr>
          <w:sz w:val="20"/>
          <w:szCs w:val="20"/>
        </w:rPr>
      </w:pPr>
    </w:p>
    <w:p w:rsidR="009D6A8C" w:rsidRDefault="00D7085F">
      <w:pPr>
        <w:numPr>
          <w:ilvl w:val="0"/>
          <w:numId w:val="7"/>
        </w:numPr>
        <w:tabs>
          <w:tab w:val="left" w:pos="1035"/>
        </w:tabs>
        <w:spacing w:line="227" w:lineRule="auto"/>
        <w:ind w:left="120" w:right="60" w:firstLine="711"/>
        <w:rPr>
          <w:rFonts w:eastAsia="Times New Roman"/>
        </w:rPr>
      </w:pPr>
      <w:r>
        <w:rPr>
          <w:rFonts w:eastAsia="Times New Roman"/>
        </w:rPr>
        <w:t>силу положений ст. 196 ГК РФ общий срок исковой давности составляет три года со дня, определяемого в соответствии со статьей 200 настоящего Кодекса.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left="120" w:right="20" w:firstLine="705"/>
        <w:jc w:val="both"/>
        <w:rPr>
          <w:rFonts w:eastAsia="Times New Roman"/>
        </w:rPr>
      </w:pPr>
      <w:r>
        <w:rPr>
          <w:rFonts w:eastAsia="Times New Roman"/>
        </w:rPr>
        <w:t>Согласно ч. 2 ст. 200 ГК РФ по обязательствам, срок</w:t>
      </w:r>
      <w:r>
        <w:rPr>
          <w:rFonts w:eastAsia="Times New Roman"/>
        </w:rPr>
        <w:t xml:space="preserve"> исполнения которых не определен или определен моментом востребования, срок исковой давности начинает течь со дня предъявления кредитором требования об исполнении обязательства.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spacing w:line="227" w:lineRule="auto"/>
        <w:ind w:left="840" w:right="40"/>
        <w:rPr>
          <w:rFonts w:eastAsia="Times New Roman"/>
        </w:rPr>
      </w:pPr>
      <w:r>
        <w:rPr>
          <w:rFonts w:eastAsia="Times New Roman"/>
        </w:rPr>
        <w:t xml:space="preserve">Встречное исковое заявление подано в Арбитражный суд Московской области </w:t>
      </w:r>
      <w:r>
        <w:rPr>
          <w:rFonts w:eastAsia="Times New Roman"/>
        </w:rPr>
        <w:t>04.05.2017. Следовательно истечение срока исковой давности следует исчислять с указанной даты, а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left="140" w:right="40"/>
        <w:jc w:val="both"/>
        <w:rPr>
          <w:rFonts w:eastAsia="Times New Roman"/>
        </w:rPr>
      </w:pPr>
      <w:r>
        <w:rPr>
          <w:rFonts w:eastAsia="Times New Roman"/>
        </w:rPr>
        <w:t>именно с 04.05.2014. Согласно расчету истца с 04.05.2014 им осуществлено переплаты за потребляемую электрическую энергию на сумму 338 245,49 руб. (83954,21+15</w:t>
      </w:r>
      <w:r>
        <w:rPr>
          <w:rFonts w:eastAsia="Times New Roman"/>
        </w:rPr>
        <w:t>4516,67+99774,61=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left="140"/>
        <w:rPr>
          <w:rFonts w:eastAsia="Times New Roman"/>
        </w:rPr>
      </w:pPr>
      <w:r>
        <w:rPr>
          <w:rFonts w:eastAsia="Times New Roman"/>
        </w:rPr>
        <w:t>338 245,49).</w:t>
      </w:r>
    </w:p>
    <w:p w:rsidR="009D6A8C" w:rsidRDefault="00D7085F">
      <w:pPr>
        <w:spacing w:line="227" w:lineRule="auto"/>
        <w:ind w:left="140" w:right="40" w:firstLine="710"/>
        <w:jc w:val="both"/>
        <w:rPr>
          <w:rFonts w:eastAsia="Times New Roman"/>
        </w:rPr>
      </w:pPr>
      <w:r>
        <w:rPr>
          <w:rFonts w:eastAsia="Times New Roman"/>
        </w:rPr>
        <w:t>Материалами дела установлено, что 08.08.2016 сотрудниками ПАО «МОЭСК» проводилась проверка электросчетчика № 07097615, по факту которой был оформлен Акт № 000536 К-СУЭ-Ю о неучтенном потреблении электрической энергии. Выявле</w:t>
      </w:r>
      <w:r>
        <w:rPr>
          <w:rFonts w:eastAsia="Times New Roman"/>
        </w:rPr>
        <w:t>нный факт безучетного потребления электроэнергии выразился в отсутствии пломб и знаков визуального контроля, нанесенных на измерительный комплекс.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spacing w:line="227" w:lineRule="auto"/>
        <w:ind w:left="140" w:right="40" w:firstLine="710"/>
        <w:jc w:val="both"/>
        <w:rPr>
          <w:rFonts w:eastAsia="Times New Roman"/>
        </w:rPr>
      </w:pPr>
      <w:r>
        <w:rPr>
          <w:rFonts w:eastAsia="Times New Roman"/>
        </w:rPr>
        <w:t>Актом проверки от 08.08.2016 подтверждена установка измерительных трансформаторов тока типа Т-066 с номинало</w:t>
      </w:r>
      <w:r>
        <w:rPr>
          <w:rFonts w:eastAsia="Times New Roman"/>
        </w:rPr>
        <w:t>м 500/5, коэффициент трансформации 100. Указанные трансформаторы тока имеют нанесенные на корпус данные завода - изготовителя о дате производства - март 2016 (момент акта допуска прибора учета в эксплуатацию - 09.08.2011).</w:t>
      </w:r>
    </w:p>
    <w:p w:rsidR="009D6A8C" w:rsidRDefault="009D6A8C">
      <w:pPr>
        <w:spacing w:line="2" w:lineRule="exact"/>
        <w:rPr>
          <w:rFonts w:eastAsia="Times New Roman"/>
        </w:rPr>
      </w:pPr>
    </w:p>
    <w:p w:rsidR="009D6A8C" w:rsidRDefault="00D7085F">
      <w:pPr>
        <w:numPr>
          <w:ilvl w:val="0"/>
          <w:numId w:val="7"/>
        </w:numPr>
        <w:tabs>
          <w:tab w:val="left" w:pos="1080"/>
        </w:tabs>
        <w:spacing w:line="227" w:lineRule="auto"/>
        <w:ind w:left="140" w:right="40" w:firstLine="701"/>
        <w:jc w:val="both"/>
        <w:rPr>
          <w:rFonts w:eastAsia="Times New Roman"/>
        </w:rPr>
      </w:pPr>
      <w:r>
        <w:rPr>
          <w:rFonts w:eastAsia="Times New Roman"/>
        </w:rPr>
        <w:t>нарушение условий п.3.1.9 догово</w:t>
      </w:r>
      <w:r>
        <w:rPr>
          <w:rFonts w:eastAsia="Times New Roman"/>
        </w:rPr>
        <w:t>ра энергоснабжения, пункта 149 Основных положений функционирования розничных рынков электрической энергии, утвержденных постановлением Правительства РФ от 04.05.2012 № 442, СНТ «Кузнечиково» не уведомило ПАО «Мосэнергосбыт» или сетевую организацию о намере</w:t>
      </w:r>
      <w:r>
        <w:rPr>
          <w:rFonts w:eastAsia="Times New Roman"/>
        </w:rPr>
        <w:t>нии демонтировать в целях замены, ремонта или поверки средства измерения электроэнергии.</w:t>
      </w:r>
    </w:p>
    <w:p w:rsidR="009D6A8C" w:rsidRDefault="009D6A8C">
      <w:pPr>
        <w:spacing w:line="4" w:lineRule="exact"/>
        <w:rPr>
          <w:rFonts w:eastAsia="Times New Roman"/>
        </w:rPr>
      </w:pPr>
    </w:p>
    <w:p w:rsidR="009D6A8C" w:rsidRDefault="00D7085F">
      <w:pPr>
        <w:spacing w:line="227" w:lineRule="auto"/>
        <w:ind w:left="140" w:right="40" w:firstLine="710"/>
        <w:jc w:val="both"/>
        <w:rPr>
          <w:rFonts w:eastAsia="Times New Roman"/>
        </w:rPr>
      </w:pPr>
      <w:r>
        <w:rPr>
          <w:rFonts w:eastAsia="Times New Roman"/>
        </w:rPr>
        <w:t>Суд предлагал, СНТ «КУЗНЕЧИКОВО», ПАО «МОСЭНЕРГОСБЫТ», ПАО «МОЭСК» провести проверку в целях выяснения фактически установленного коэффициента трансформации</w:t>
      </w:r>
    </w:p>
    <w:p w:rsidR="009D6A8C" w:rsidRDefault="009D6A8C">
      <w:pPr>
        <w:sectPr w:rsidR="009D6A8C">
          <w:pgSz w:w="11900" w:h="16840"/>
          <w:pgMar w:top="699" w:right="845" w:bottom="611" w:left="1440" w:header="0" w:footer="0" w:gutter="0"/>
          <w:cols w:space="720" w:equalWidth="0">
            <w:col w:w="9620"/>
          </w:cols>
        </w:sectPr>
      </w:pPr>
    </w:p>
    <w:p w:rsidR="009D6A8C" w:rsidRDefault="00D7085F">
      <w:pPr>
        <w:tabs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42_6614997</w:t>
      </w:r>
    </w:p>
    <w:p w:rsidR="009D6A8C" w:rsidRDefault="009D6A8C">
      <w:pPr>
        <w:spacing w:line="285" w:lineRule="exact"/>
        <w:rPr>
          <w:sz w:val="20"/>
          <w:szCs w:val="20"/>
        </w:rPr>
      </w:pPr>
    </w:p>
    <w:p w:rsidR="009D6A8C" w:rsidRDefault="00D7085F">
      <w:pPr>
        <w:spacing w:line="228" w:lineRule="auto"/>
        <w:ind w:left="40" w:right="125"/>
        <w:jc w:val="both"/>
        <w:rPr>
          <w:sz w:val="20"/>
          <w:szCs w:val="20"/>
        </w:rPr>
      </w:pPr>
      <w:r>
        <w:rPr>
          <w:rFonts w:eastAsia="Times New Roman"/>
        </w:rPr>
        <w:t>установленного в цепях узла учета СНТ «КУЗНЕЧИКОВО» (прибор учета № 07097615), акт проверки представить в суд.</w:t>
      </w:r>
    </w:p>
    <w:p w:rsidR="009D6A8C" w:rsidRDefault="00D7085F">
      <w:pPr>
        <w:spacing w:line="227" w:lineRule="auto"/>
        <w:ind w:left="40" w:right="125" w:firstLine="710"/>
        <w:jc w:val="both"/>
        <w:rPr>
          <w:sz w:val="20"/>
          <w:szCs w:val="20"/>
        </w:rPr>
      </w:pPr>
      <w:r>
        <w:rPr>
          <w:rFonts w:eastAsia="Times New Roman"/>
        </w:rPr>
        <w:t xml:space="preserve">Вместе с тем, СНТ «КУЗНЕЧИКОВО» уклонилось от проверки, а его представители не настаивали на проведении </w:t>
      </w:r>
      <w:r>
        <w:rPr>
          <w:rFonts w:eastAsia="Times New Roman"/>
        </w:rPr>
        <w:t>указанной проверки, сославшись на длительную командировку председателя</w:t>
      </w:r>
    </w:p>
    <w:p w:rsidR="009D6A8C" w:rsidRDefault="009D6A8C">
      <w:pPr>
        <w:spacing w:line="2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left="40" w:right="125" w:firstLine="710"/>
        <w:jc w:val="both"/>
        <w:rPr>
          <w:sz w:val="20"/>
          <w:szCs w:val="20"/>
        </w:rPr>
      </w:pPr>
      <w:r>
        <w:rPr>
          <w:rFonts w:eastAsia="Times New Roman"/>
        </w:rPr>
        <w:t>Поскольку ответчиком не исполнено требование части 1 статьи 65 Арбитражного процессуального кодекса Российской Федерации об обязанности каждого лица, участвующего в деле, доказать обст</w:t>
      </w:r>
      <w:r>
        <w:rPr>
          <w:rFonts w:eastAsia="Times New Roman"/>
        </w:rPr>
        <w:t>оятельства, на которые оно ссылается как на основание своих требований и возражений, они в силу части 2 статьи 9 того же Кодекса несут риск наступления последствий совершения или несовершения ими процессуальных действий.</w:t>
      </w:r>
    </w:p>
    <w:p w:rsidR="009D6A8C" w:rsidRDefault="00D7085F">
      <w:pPr>
        <w:spacing w:line="231" w:lineRule="auto"/>
        <w:ind w:left="740"/>
        <w:rPr>
          <w:sz w:val="20"/>
          <w:szCs w:val="20"/>
        </w:rPr>
      </w:pPr>
      <w:r>
        <w:rPr>
          <w:rFonts w:eastAsia="Times New Roman"/>
        </w:rPr>
        <w:t>В указанной связи, суд отказывает в</w:t>
      </w:r>
      <w:r>
        <w:rPr>
          <w:rFonts w:eastAsia="Times New Roman"/>
        </w:rPr>
        <w:t xml:space="preserve"> удовлетворении встречного иска.</w:t>
      </w:r>
    </w:p>
    <w:p w:rsidR="009D6A8C" w:rsidRDefault="009D6A8C">
      <w:pPr>
        <w:spacing w:line="1" w:lineRule="exact"/>
        <w:rPr>
          <w:sz w:val="20"/>
          <w:szCs w:val="20"/>
        </w:rPr>
      </w:pPr>
    </w:p>
    <w:p w:rsidR="009D6A8C" w:rsidRDefault="00D7085F">
      <w:pPr>
        <w:spacing w:line="227" w:lineRule="auto"/>
        <w:ind w:right="105" w:firstLine="710"/>
        <w:jc w:val="both"/>
        <w:rPr>
          <w:sz w:val="20"/>
          <w:szCs w:val="20"/>
        </w:rPr>
      </w:pPr>
      <w:r>
        <w:rPr>
          <w:rFonts w:eastAsia="Times New Roman"/>
        </w:rPr>
        <w:t>Согласно части 1 статьи 110 Арбитражного процессуального кодекса Российской Федерации судебные расходы, понесенные лицами, участвующими в деле, в пользу которых принят судебный акт, взыскиваются арбитражным судом со сторон</w:t>
      </w:r>
      <w:r>
        <w:rPr>
          <w:rFonts w:eastAsia="Times New Roman"/>
        </w:rPr>
        <w:t>ы.</w:t>
      </w:r>
    </w:p>
    <w:p w:rsidR="009D6A8C" w:rsidRDefault="009D6A8C">
      <w:pPr>
        <w:spacing w:line="3" w:lineRule="exact"/>
        <w:rPr>
          <w:sz w:val="20"/>
          <w:szCs w:val="20"/>
        </w:rPr>
      </w:pPr>
    </w:p>
    <w:p w:rsidR="009D6A8C" w:rsidRDefault="00D7085F">
      <w:pPr>
        <w:numPr>
          <w:ilvl w:val="0"/>
          <w:numId w:val="8"/>
        </w:numPr>
        <w:tabs>
          <w:tab w:val="left" w:pos="930"/>
        </w:tabs>
        <w:spacing w:line="227" w:lineRule="auto"/>
        <w:ind w:right="85" w:firstLine="701"/>
        <w:rPr>
          <w:rFonts w:eastAsia="Times New Roman"/>
        </w:rPr>
      </w:pPr>
      <w:r>
        <w:rPr>
          <w:rFonts w:eastAsia="Times New Roman"/>
        </w:rPr>
        <w:t>связи с отказом в удовлетворении первоначального и встречного иска расходы по уплате государственной пошлины относятся на истцов по первоначальному и встречному иску.</w:t>
      </w:r>
    </w:p>
    <w:p w:rsidR="009D6A8C" w:rsidRDefault="009D6A8C">
      <w:pPr>
        <w:spacing w:line="1" w:lineRule="exact"/>
        <w:rPr>
          <w:rFonts w:eastAsia="Times New Roman"/>
        </w:rPr>
      </w:pPr>
    </w:p>
    <w:p w:rsidR="009D6A8C" w:rsidRDefault="00D7085F">
      <w:pPr>
        <w:spacing w:line="227" w:lineRule="auto"/>
        <w:ind w:right="105" w:firstLine="710"/>
        <w:rPr>
          <w:rFonts w:eastAsia="Times New Roman"/>
        </w:rPr>
      </w:pPr>
      <w:r>
        <w:rPr>
          <w:rFonts w:eastAsia="Times New Roman"/>
        </w:rPr>
        <w:t>руководствуясь статьями 110,167-170, 176 Арбитражного процессуального кодекса Россий</w:t>
      </w:r>
      <w:r>
        <w:rPr>
          <w:rFonts w:eastAsia="Times New Roman"/>
        </w:rPr>
        <w:t>ской Федерации, арбитражный суд</w:t>
      </w:r>
    </w:p>
    <w:p w:rsidR="009D6A8C" w:rsidRDefault="009D6A8C">
      <w:pPr>
        <w:spacing w:line="243" w:lineRule="exact"/>
        <w:rPr>
          <w:rFonts w:eastAsia="Times New Roman"/>
        </w:rPr>
      </w:pPr>
    </w:p>
    <w:p w:rsidR="009D6A8C" w:rsidRDefault="00D7085F">
      <w:pPr>
        <w:numPr>
          <w:ilvl w:val="1"/>
          <w:numId w:val="8"/>
        </w:numPr>
        <w:tabs>
          <w:tab w:val="left" w:pos="4640"/>
        </w:tabs>
        <w:ind w:left="4640" w:hanging="198"/>
        <w:rPr>
          <w:rFonts w:eastAsia="Times New Roman"/>
        </w:rPr>
      </w:pPr>
      <w:r>
        <w:rPr>
          <w:rFonts w:eastAsia="Times New Roman"/>
        </w:rPr>
        <w:t>Е Ш И Л :</w:t>
      </w:r>
    </w:p>
    <w:p w:rsidR="009D6A8C" w:rsidRDefault="009D6A8C">
      <w:pPr>
        <w:spacing w:line="252" w:lineRule="exact"/>
        <w:rPr>
          <w:rFonts w:eastAsia="Times New Roman"/>
        </w:rPr>
      </w:pPr>
    </w:p>
    <w:p w:rsidR="009D6A8C" w:rsidRDefault="00D7085F">
      <w:pPr>
        <w:numPr>
          <w:ilvl w:val="0"/>
          <w:numId w:val="8"/>
        </w:numPr>
        <w:tabs>
          <w:tab w:val="left" w:pos="900"/>
        </w:tabs>
        <w:ind w:left="900" w:hanging="199"/>
        <w:rPr>
          <w:rFonts w:eastAsia="Times New Roman"/>
        </w:rPr>
      </w:pPr>
      <w:r>
        <w:rPr>
          <w:rFonts w:eastAsia="Times New Roman"/>
        </w:rPr>
        <w:t>удовлетворении первоначального и встречного иска отказать.</w:t>
      </w:r>
    </w:p>
    <w:p w:rsidR="009D6A8C" w:rsidRDefault="009D6A8C">
      <w:pPr>
        <w:spacing w:line="14" w:lineRule="exact"/>
        <w:rPr>
          <w:sz w:val="20"/>
          <w:szCs w:val="20"/>
        </w:rPr>
      </w:pPr>
    </w:p>
    <w:p w:rsidR="009D6A8C" w:rsidRDefault="00D7085F">
      <w:pPr>
        <w:spacing w:line="232" w:lineRule="auto"/>
        <w:ind w:right="85" w:firstLine="710"/>
        <w:rPr>
          <w:sz w:val="20"/>
          <w:szCs w:val="20"/>
        </w:rPr>
      </w:pPr>
      <w:r>
        <w:rPr>
          <w:rFonts w:eastAsia="Times New Roman"/>
        </w:rPr>
        <w:t>Решение может быть обжаловано в течение месяца после принятия решения в Десятый Арбитражный апелляционный суд через Арбитражный суд Московской области.</w:t>
      </w:r>
    </w:p>
    <w:p w:rsidR="009D6A8C" w:rsidRDefault="009D6A8C">
      <w:pPr>
        <w:spacing w:line="200" w:lineRule="exact"/>
        <w:rPr>
          <w:sz w:val="20"/>
          <w:szCs w:val="20"/>
        </w:rPr>
      </w:pPr>
    </w:p>
    <w:p w:rsidR="009D6A8C" w:rsidRDefault="009D6A8C">
      <w:pPr>
        <w:spacing w:line="309" w:lineRule="exact"/>
        <w:rPr>
          <w:sz w:val="20"/>
          <w:szCs w:val="20"/>
        </w:rPr>
      </w:pPr>
    </w:p>
    <w:p w:rsidR="009D6A8C" w:rsidRDefault="00D7085F">
      <w:pPr>
        <w:tabs>
          <w:tab w:val="left" w:pos="7080"/>
        </w:tabs>
        <w:ind w:left="700"/>
        <w:rPr>
          <w:sz w:val="20"/>
          <w:szCs w:val="20"/>
        </w:rPr>
      </w:pPr>
      <w:r>
        <w:rPr>
          <w:rFonts w:eastAsia="Times New Roman"/>
        </w:rPr>
        <w:t>Судья</w:t>
      </w:r>
      <w:r>
        <w:rPr>
          <w:sz w:val="20"/>
          <w:szCs w:val="20"/>
        </w:rPr>
        <w:tab/>
      </w:r>
      <w:r>
        <w:rPr>
          <w:rFonts w:eastAsia="Times New Roman"/>
        </w:rPr>
        <w:t>А.С. Сергеева</w:t>
      </w:r>
    </w:p>
    <w:sectPr w:rsidR="009D6A8C">
      <w:pgSz w:w="11900" w:h="16840"/>
      <w:pgMar w:top="699" w:right="1440" w:bottom="1440" w:left="860" w:header="0" w:footer="0" w:gutter="0"/>
      <w:cols w:space="720" w:equalWidth="0">
        <w:col w:w="9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FA66F62"/>
    <w:lvl w:ilvl="0" w:tplc="A31AB27C">
      <w:start w:val="1"/>
      <w:numFmt w:val="bullet"/>
      <w:lvlText w:val="В"/>
      <w:lvlJc w:val="left"/>
    </w:lvl>
    <w:lvl w:ilvl="1" w:tplc="DE969B22">
      <w:start w:val="1"/>
      <w:numFmt w:val="bullet"/>
      <w:lvlText w:val="Р"/>
      <w:lvlJc w:val="left"/>
    </w:lvl>
    <w:lvl w:ilvl="2" w:tplc="ED184ABC">
      <w:numFmt w:val="decimal"/>
      <w:lvlText w:val=""/>
      <w:lvlJc w:val="left"/>
    </w:lvl>
    <w:lvl w:ilvl="3" w:tplc="5E984F30">
      <w:numFmt w:val="decimal"/>
      <w:lvlText w:val=""/>
      <w:lvlJc w:val="left"/>
    </w:lvl>
    <w:lvl w:ilvl="4" w:tplc="5CCC7052">
      <w:numFmt w:val="decimal"/>
      <w:lvlText w:val=""/>
      <w:lvlJc w:val="left"/>
    </w:lvl>
    <w:lvl w:ilvl="5" w:tplc="970412E4">
      <w:numFmt w:val="decimal"/>
      <w:lvlText w:val=""/>
      <w:lvlJc w:val="left"/>
    </w:lvl>
    <w:lvl w:ilvl="6" w:tplc="F4B687CE">
      <w:numFmt w:val="decimal"/>
      <w:lvlText w:val=""/>
      <w:lvlJc w:val="left"/>
    </w:lvl>
    <w:lvl w:ilvl="7" w:tplc="73481ECC">
      <w:numFmt w:val="decimal"/>
      <w:lvlText w:val=""/>
      <w:lvlJc w:val="left"/>
    </w:lvl>
    <w:lvl w:ilvl="8" w:tplc="BF828CDC">
      <w:numFmt w:val="decimal"/>
      <w:lvlText w:val=""/>
      <w:lvlJc w:val="left"/>
    </w:lvl>
  </w:abstractNum>
  <w:abstractNum w:abstractNumId="1">
    <w:nsid w:val="00001649"/>
    <w:multiLevelType w:val="hybridMultilevel"/>
    <w:tmpl w:val="787E05B4"/>
    <w:lvl w:ilvl="0" w:tplc="28F0E890">
      <w:start w:val="1"/>
      <w:numFmt w:val="bullet"/>
      <w:lvlText w:val="о"/>
      <w:lvlJc w:val="left"/>
    </w:lvl>
    <w:lvl w:ilvl="1" w:tplc="7A7C75B2">
      <w:numFmt w:val="decimal"/>
      <w:lvlText w:val=""/>
      <w:lvlJc w:val="left"/>
    </w:lvl>
    <w:lvl w:ilvl="2" w:tplc="CE36734C">
      <w:numFmt w:val="decimal"/>
      <w:lvlText w:val=""/>
      <w:lvlJc w:val="left"/>
    </w:lvl>
    <w:lvl w:ilvl="3" w:tplc="AE4E5FDE">
      <w:numFmt w:val="decimal"/>
      <w:lvlText w:val=""/>
      <w:lvlJc w:val="left"/>
    </w:lvl>
    <w:lvl w:ilvl="4" w:tplc="54DCCBEC">
      <w:numFmt w:val="decimal"/>
      <w:lvlText w:val=""/>
      <w:lvlJc w:val="left"/>
    </w:lvl>
    <w:lvl w:ilvl="5" w:tplc="CA4ECEBE">
      <w:numFmt w:val="decimal"/>
      <w:lvlText w:val=""/>
      <w:lvlJc w:val="left"/>
    </w:lvl>
    <w:lvl w:ilvl="6" w:tplc="0EECB774">
      <w:numFmt w:val="decimal"/>
      <w:lvlText w:val=""/>
      <w:lvlJc w:val="left"/>
    </w:lvl>
    <w:lvl w:ilvl="7" w:tplc="65CA93BE">
      <w:numFmt w:val="decimal"/>
      <w:lvlText w:val=""/>
      <w:lvlJc w:val="left"/>
    </w:lvl>
    <w:lvl w:ilvl="8" w:tplc="668EDE08">
      <w:numFmt w:val="decimal"/>
      <w:lvlText w:val=""/>
      <w:lvlJc w:val="left"/>
    </w:lvl>
  </w:abstractNum>
  <w:abstractNum w:abstractNumId="2">
    <w:nsid w:val="000026E9"/>
    <w:multiLevelType w:val="hybridMultilevel"/>
    <w:tmpl w:val="D39242EE"/>
    <w:lvl w:ilvl="0" w:tplc="2BD8538E">
      <w:start w:val="1"/>
      <w:numFmt w:val="bullet"/>
      <w:lvlText w:val="В"/>
      <w:lvlJc w:val="left"/>
    </w:lvl>
    <w:lvl w:ilvl="1" w:tplc="FBFC9F7E">
      <w:numFmt w:val="decimal"/>
      <w:lvlText w:val=""/>
      <w:lvlJc w:val="left"/>
    </w:lvl>
    <w:lvl w:ilvl="2" w:tplc="2146021C">
      <w:numFmt w:val="decimal"/>
      <w:lvlText w:val=""/>
      <w:lvlJc w:val="left"/>
    </w:lvl>
    <w:lvl w:ilvl="3" w:tplc="623E63F0">
      <w:numFmt w:val="decimal"/>
      <w:lvlText w:val=""/>
      <w:lvlJc w:val="left"/>
    </w:lvl>
    <w:lvl w:ilvl="4" w:tplc="8540739E">
      <w:numFmt w:val="decimal"/>
      <w:lvlText w:val=""/>
      <w:lvlJc w:val="left"/>
    </w:lvl>
    <w:lvl w:ilvl="5" w:tplc="04FA3446">
      <w:numFmt w:val="decimal"/>
      <w:lvlText w:val=""/>
      <w:lvlJc w:val="left"/>
    </w:lvl>
    <w:lvl w:ilvl="6" w:tplc="DE8A182A">
      <w:numFmt w:val="decimal"/>
      <w:lvlText w:val=""/>
      <w:lvlJc w:val="left"/>
    </w:lvl>
    <w:lvl w:ilvl="7" w:tplc="47D2A9CA">
      <w:numFmt w:val="decimal"/>
      <w:lvlText w:val=""/>
      <w:lvlJc w:val="left"/>
    </w:lvl>
    <w:lvl w:ilvl="8" w:tplc="16B45218">
      <w:numFmt w:val="decimal"/>
      <w:lvlText w:val=""/>
      <w:lvlJc w:val="left"/>
    </w:lvl>
  </w:abstractNum>
  <w:abstractNum w:abstractNumId="3">
    <w:nsid w:val="000041BB"/>
    <w:multiLevelType w:val="hybridMultilevel"/>
    <w:tmpl w:val="5E04507A"/>
    <w:lvl w:ilvl="0" w:tplc="C8B45778">
      <w:start w:val="1"/>
      <w:numFmt w:val="bullet"/>
      <w:lvlText w:val="№"/>
      <w:lvlJc w:val="left"/>
    </w:lvl>
    <w:lvl w:ilvl="1" w:tplc="145694BA">
      <w:start w:val="1"/>
      <w:numFmt w:val="bullet"/>
      <w:lvlText w:val="В"/>
      <w:lvlJc w:val="left"/>
    </w:lvl>
    <w:lvl w:ilvl="2" w:tplc="1C0671A8">
      <w:numFmt w:val="decimal"/>
      <w:lvlText w:val=""/>
      <w:lvlJc w:val="left"/>
    </w:lvl>
    <w:lvl w:ilvl="3" w:tplc="DDBE46D4">
      <w:numFmt w:val="decimal"/>
      <w:lvlText w:val=""/>
      <w:lvlJc w:val="left"/>
    </w:lvl>
    <w:lvl w:ilvl="4" w:tplc="8FB69ACC">
      <w:numFmt w:val="decimal"/>
      <w:lvlText w:val=""/>
      <w:lvlJc w:val="left"/>
    </w:lvl>
    <w:lvl w:ilvl="5" w:tplc="1778B5F8">
      <w:numFmt w:val="decimal"/>
      <w:lvlText w:val=""/>
      <w:lvlJc w:val="left"/>
    </w:lvl>
    <w:lvl w:ilvl="6" w:tplc="7F6AA9B2">
      <w:numFmt w:val="decimal"/>
      <w:lvlText w:val=""/>
      <w:lvlJc w:val="left"/>
    </w:lvl>
    <w:lvl w:ilvl="7" w:tplc="9EAC9EA2">
      <w:numFmt w:val="decimal"/>
      <w:lvlText w:val=""/>
      <w:lvlJc w:val="left"/>
    </w:lvl>
    <w:lvl w:ilvl="8" w:tplc="591AB038">
      <w:numFmt w:val="decimal"/>
      <w:lvlText w:val=""/>
      <w:lvlJc w:val="left"/>
    </w:lvl>
  </w:abstractNum>
  <w:abstractNum w:abstractNumId="4">
    <w:nsid w:val="00005AF1"/>
    <w:multiLevelType w:val="hybridMultilevel"/>
    <w:tmpl w:val="CC88F240"/>
    <w:lvl w:ilvl="0" w:tplc="2A6CDB90">
      <w:start w:val="1"/>
      <w:numFmt w:val="bullet"/>
      <w:lvlText w:val="и"/>
      <w:lvlJc w:val="left"/>
    </w:lvl>
    <w:lvl w:ilvl="1" w:tplc="CCBAA3FC">
      <w:start w:val="1"/>
      <w:numFmt w:val="bullet"/>
      <w:lvlText w:val="В"/>
      <w:lvlJc w:val="left"/>
    </w:lvl>
    <w:lvl w:ilvl="2" w:tplc="684CB5E6">
      <w:numFmt w:val="decimal"/>
      <w:lvlText w:val=""/>
      <w:lvlJc w:val="left"/>
    </w:lvl>
    <w:lvl w:ilvl="3" w:tplc="E7CE8AF0">
      <w:numFmt w:val="decimal"/>
      <w:lvlText w:val=""/>
      <w:lvlJc w:val="left"/>
    </w:lvl>
    <w:lvl w:ilvl="4" w:tplc="B6F8E774">
      <w:numFmt w:val="decimal"/>
      <w:lvlText w:val=""/>
      <w:lvlJc w:val="left"/>
    </w:lvl>
    <w:lvl w:ilvl="5" w:tplc="D4A44642">
      <w:numFmt w:val="decimal"/>
      <w:lvlText w:val=""/>
      <w:lvlJc w:val="left"/>
    </w:lvl>
    <w:lvl w:ilvl="6" w:tplc="D534DDF8">
      <w:numFmt w:val="decimal"/>
      <w:lvlText w:val=""/>
      <w:lvlJc w:val="left"/>
    </w:lvl>
    <w:lvl w:ilvl="7" w:tplc="0332DFDC">
      <w:numFmt w:val="decimal"/>
      <w:lvlText w:val=""/>
      <w:lvlJc w:val="left"/>
    </w:lvl>
    <w:lvl w:ilvl="8" w:tplc="BBC285B2">
      <w:numFmt w:val="decimal"/>
      <w:lvlText w:val=""/>
      <w:lvlJc w:val="left"/>
    </w:lvl>
  </w:abstractNum>
  <w:abstractNum w:abstractNumId="5">
    <w:nsid w:val="00005F90"/>
    <w:multiLevelType w:val="hybridMultilevel"/>
    <w:tmpl w:val="4E48B97E"/>
    <w:lvl w:ilvl="0" w:tplc="B87021A2">
      <w:start w:val="1"/>
      <w:numFmt w:val="bullet"/>
      <w:lvlText w:val="В"/>
      <w:lvlJc w:val="left"/>
    </w:lvl>
    <w:lvl w:ilvl="1" w:tplc="C0F62844">
      <w:numFmt w:val="decimal"/>
      <w:lvlText w:val=""/>
      <w:lvlJc w:val="left"/>
    </w:lvl>
    <w:lvl w:ilvl="2" w:tplc="0C406C44">
      <w:numFmt w:val="decimal"/>
      <w:lvlText w:val=""/>
      <w:lvlJc w:val="left"/>
    </w:lvl>
    <w:lvl w:ilvl="3" w:tplc="E2906346">
      <w:numFmt w:val="decimal"/>
      <w:lvlText w:val=""/>
      <w:lvlJc w:val="left"/>
    </w:lvl>
    <w:lvl w:ilvl="4" w:tplc="DD42BA20">
      <w:numFmt w:val="decimal"/>
      <w:lvlText w:val=""/>
      <w:lvlJc w:val="left"/>
    </w:lvl>
    <w:lvl w:ilvl="5" w:tplc="F4ECABCA">
      <w:numFmt w:val="decimal"/>
      <w:lvlText w:val=""/>
      <w:lvlJc w:val="left"/>
    </w:lvl>
    <w:lvl w:ilvl="6" w:tplc="F2729836">
      <w:numFmt w:val="decimal"/>
      <w:lvlText w:val=""/>
      <w:lvlJc w:val="left"/>
    </w:lvl>
    <w:lvl w:ilvl="7" w:tplc="F1FCEAA4">
      <w:numFmt w:val="decimal"/>
      <w:lvlText w:val=""/>
      <w:lvlJc w:val="left"/>
    </w:lvl>
    <w:lvl w:ilvl="8" w:tplc="2D22E366">
      <w:numFmt w:val="decimal"/>
      <w:lvlText w:val=""/>
      <w:lvlJc w:val="left"/>
    </w:lvl>
  </w:abstractNum>
  <w:abstractNum w:abstractNumId="6">
    <w:nsid w:val="00006952"/>
    <w:multiLevelType w:val="hybridMultilevel"/>
    <w:tmpl w:val="80B063D6"/>
    <w:lvl w:ilvl="0" w:tplc="A808D398">
      <w:start w:val="1"/>
      <w:numFmt w:val="bullet"/>
      <w:lvlText w:val="с"/>
      <w:lvlJc w:val="left"/>
    </w:lvl>
    <w:lvl w:ilvl="1" w:tplc="2834B40A">
      <w:start w:val="1"/>
      <w:numFmt w:val="bullet"/>
      <w:lvlText w:val="В"/>
      <w:lvlJc w:val="left"/>
    </w:lvl>
    <w:lvl w:ilvl="2" w:tplc="65E0AB8C">
      <w:numFmt w:val="decimal"/>
      <w:lvlText w:val=""/>
      <w:lvlJc w:val="left"/>
    </w:lvl>
    <w:lvl w:ilvl="3" w:tplc="C5FE1A9A">
      <w:numFmt w:val="decimal"/>
      <w:lvlText w:val=""/>
      <w:lvlJc w:val="left"/>
    </w:lvl>
    <w:lvl w:ilvl="4" w:tplc="C6A685A4">
      <w:numFmt w:val="decimal"/>
      <w:lvlText w:val=""/>
      <w:lvlJc w:val="left"/>
    </w:lvl>
    <w:lvl w:ilvl="5" w:tplc="4CEE94F2">
      <w:numFmt w:val="decimal"/>
      <w:lvlText w:val=""/>
      <w:lvlJc w:val="left"/>
    </w:lvl>
    <w:lvl w:ilvl="6" w:tplc="A49C9BD0">
      <w:numFmt w:val="decimal"/>
      <w:lvlText w:val=""/>
      <w:lvlJc w:val="left"/>
    </w:lvl>
    <w:lvl w:ilvl="7" w:tplc="F79485C4">
      <w:numFmt w:val="decimal"/>
      <w:lvlText w:val=""/>
      <w:lvlJc w:val="left"/>
    </w:lvl>
    <w:lvl w:ilvl="8" w:tplc="24B80CE0">
      <w:numFmt w:val="decimal"/>
      <w:lvlText w:val=""/>
      <w:lvlJc w:val="left"/>
    </w:lvl>
  </w:abstractNum>
  <w:abstractNum w:abstractNumId="7">
    <w:nsid w:val="00006DF1"/>
    <w:multiLevelType w:val="hybridMultilevel"/>
    <w:tmpl w:val="5CC66AA2"/>
    <w:lvl w:ilvl="0" w:tplc="2826C1C6">
      <w:start w:val="1"/>
      <w:numFmt w:val="bullet"/>
      <w:lvlText w:val="В"/>
      <w:lvlJc w:val="left"/>
    </w:lvl>
    <w:lvl w:ilvl="1" w:tplc="7004E85C">
      <w:start w:val="1"/>
      <w:numFmt w:val="bullet"/>
      <w:lvlText w:val="В"/>
      <w:lvlJc w:val="left"/>
    </w:lvl>
    <w:lvl w:ilvl="2" w:tplc="BD588102">
      <w:numFmt w:val="decimal"/>
      <w:lvlText w:val=""/>
      <w:lvlJc w:val="left"/>
    </w:lvl>
    <w:lvl w:ilvl="3" w:tplc="94B68D82">
      <w:numFmt w:val="decimal"/>
      <w:lvlText w:val=""/>
      <w:lvlJc w:val="left"/>
    </w:lvl>
    <w:lvl w:ilvl="4" w:tplc="22DCA088">
      <w:numFmt w:val="decimal"/>
      <w:lvlText w:val=""/>
      <w:lvlJc w:val="left"/>
    </w:lvl>
    <w:lvl w:ilvl="5" w:tplc="E82C683A">
      <w:numFmt w:val="decimal"/>
      <w:lvlText w:val=""/>
      <w:lvlJc w:val="left"/>
    </w:lvl>
    <w:lvl w:ilvl="6" w:tplc="0890C4A0">
      <w:numFmt w:val="decimal"/>
      <w:lvlText w:val=""/>
      <w:lvlJc w:val="left"/>
    </w:lvl>
    <w:lvl w:ilvl="7" w:tplc="E0189AB2">
      <w:numFmt w:val="decimal"/>
      <w:lvlText w:val=""/>
      <w:lvlJc w:val="left"/>
    </w:lvl>
    <w:lvl w:ilvl="8" w:tplc="4A2AB42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8C"/>
    <w:rsid w:val="009D6A8C"/>
    <w:rsid w:val="00D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3478</Words>
  <Characters>19830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Вячеслав</cp:lastModifiedBy>
  <cp:revision>2</cp:revision>
  <dcterms:created xsi:type="dcterms:W3CDTF">2019-10-18T07:07:00Z</dcterms:created>
  <dcterms:modified xsi:type="dcterms:W3CDTF">2019-10-18T07:07:00Z</dcterms:modified>
</cp:coreProperties>
</file>