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E" w:rsidRDefault="00520F8E">
      <w:pPr>
        <w:pStyle w:val="ConsPlusNormal"/>
        <w:ind w:firstLine="540"/>
        <w:jc w:val="both"/>
        <w:outlineLvl w:val="0"/>
      </w:pPr>
    </w:p>
    <w:p w:rsidR="00520F8E" w:rsidRDefault="00520F8E">
      <w:pPr>
        <w:pStyle w:val="ConsPlusTitle"/>
        <w:jc w:val="center"/>
      </w:pPr>
      <w:r>
        <w:t>АРБИТРАЖНЫЙ СУД СЕВЕРО-ЗАПАДНОГО ОКРУГА</w:t>
      </w:r>
    </w:p>
    <w:p w:rsidR="00520F8E" w:rsidRDefault="00520F8E">
      <w:pPr>
        <w:pStyle w:val="ConsPlusTitle"/>
        <w:jc w:val="center"/>
      </w:pPr>
    </w:p>
    <w:p w:rsidR="00520F8E" w:rsidRDefault="00520F8E">
      <w:pPr>
        <w:pStyle w:val="ConsPlusTitle"/>
        <w:jc w:val="center"/>
      </w:pPr>
      <w:r>
        <w:t>ПОСТАНОВЛЕНИЕ</w:t>
      </w:r>
    </w:p>
    <w:p w:rsidR="00520F8E" w:rsidRDefault="00520F8E">
      <w:pPr>
        <w:pStyle w:val="ConsPlusTitle"/>
        <w:jc w:val="center"/>
      </w:pPr>
      <w:r>
        <w:t>от 4 октября 2017 г. по делу N А56-71357/2015</w:t>
      </w:r>
    </w:p>
    <w:p w:rsidR="00520F8E" w:rsidRDefault="00520F8E">
      <w:pPr>
        <w:pStyle w:val="ConsPlusNormal"/>
        <w:ind w:firstLine="540"/>
        <w:jc w:val="both"/>
      </w:pPr>
    </w:p>
    <w:p w:rsidR="00520F8E" w:rsidRDefault="00520F8E">
      <w:pPr>
        <w:pStyle w:val="ConsPlusNormal"/>
        <w:ind w:firstLine="540"/>
        <w:jc w:val="both"/>
      </w:pPr>
      <w:r>
        <w:t>Резолютивная часть постановления объявлена 27 сентября 2017 года.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Полный текст постановления изготовлен 04 октября 2017 года.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Арбитражный суд Северо-Западного округа в составе председательствующего </w:t>
      </w:r>
      <w:proofErr w:type="spellStart"/>
      <w:r>
        <w:t>Троховой</w:t>
      </w:r>
      <w:proofErr w:type="spellEnd"/>
      <w:r>
        <w:t xml:space="preserve"> М.В., судей Ковалева С.Н., Кравченко Т.В., при участии от общества с ограниченной ответственностью "Невская трубопроводная компания" </w:t>
      </w:r>
      <w:proofErr w:type="spellStart"/>
      <w:r>
        <w:t>Бравичевой</w:t>
      </w:r>
      <w:proofErr w:type="spellEnd"/>
      <w:r>
        <w:t xml:space="preserve"> Т.Д. (доверенность от 25.07.2017), от Закревского Павла Анатольевича - </w:t>
      </w:r>
      <w:proofErr w:type="spellStart"/>
      <w:r>
        <w:t>Шучалина</w:t>
      </w:r>
      <w:proofErr w:type="spellEnd"/>
      <w:r>
        <w:t xml:space="preserve"> А.В. (доверенность от 02.12.2016) и от общества с ограниченной ответственностью "</w:t>
      </w:r>
      <w:proofErr w:type="spellStart"/>
      <w:r>
        <w:t>Транснефть</w:t>
      </w:r>
      <w:proofErr w:type="spellEnd"/>
      <w:r>
        <w:t xml:space="preserve"> - Порт Усть-Луга" </w:t>
      </w:r>
      <w:proofErr w:type="spellStart"/>
      <w:r>
        <w:t>Добрякова</w:t>
      </w:r>
      <w:proofErr w:type="spellEnd"/>
      <w:r>
        <w:t xml:space="preserve"> А.Н. (доверенность от 24.11.2016), рассмотрев 27.09.2017</w:t>
      </w:r>
      <w:proofErr w:type="gramEnd"/>
      <w:r>
        <w:t xml:space="preserve"> </w:t>
      </w:r>
      <w:proofErr w:type="gramStart"/>
      <w:r>
        <w:t xml:space="preserve">в открытом судебном заседании кассационную жалобу общества с ограниченной ответственностью "Невская трубопроводная компания" на определение Арбитражного суда города Санкт-Петербурга и Ленинградской области от 03.02.2017 (судья Мирошниченко В.В.)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23.05.2017 (судьи Зайцева Е.К., </w:t>
      </w:r>
      <w:proofErr w:type="spellStart"/>
      <w:r>
        <w:t>Бурденков</w:t>
      </w:r>
      <w:proofErr w:type="spellEnd"/>
      <w:r>
        <w:t xml:space="preserve"> Д.В.. Глазков Е.Г.) по делу N А56-71357/2015,</w:t>
      </w:r>
      <w:proofErr w:type="gramEnd"/>
    </w:p>
    <w:p w:rsidR="00520F8E" w:rsidRDefault="00520F8E">
      <w:pPr>
        <w:pStyle w:val="ConsPlusNormal"/>
        <w:jc w:val="center"/>
      </w:pPr>
    </w:p>
    <w:p w:rsidR="00520F8E" w:rsidRDefault="00520F8E">
      <w:pPr>
        <w:pStyle w:val="ConsPlusNormal"/>
        <w:jc w:val="center"/>
      </w:pPr>
      <w:r>
        <w:t>установил:</w:t>
      </w:r>
    </w:p>
    <w:p w:rsidR="00520F8E" w:rsidRDefault="00520F8E">
      <w:pPr>
        <w:pStyle w:val="ConsPlusNormal"/>
        <w:jc w:val="center"/>
      </w:pPr>
    </w:p>
    <w:p w:rsidR="00520F8E" w:rsidRDefault="00520F8E">
      <w:pPr>
        <w:pStyle w:val="ConsPlusNormal"/>
        <w:ind w:firstLine="540"/>
        <w:jc w:val="both"/>
      </w:pPr>
      <w:r>
        <w:t xml:space="preserve">Решением Арбитражного суда города Санкт-Петербурга и Ленинградской области от 25.02.2016 по делу А56-71357/2015 Закревский Павел Анатольевич признан несостоятельным (банкротом); в отношении него введена процедура банкротства - реализация имущества гражданина. Финансовым управляющим утвержден </w:t>
      </w:r>
      <w:proofErr w:type="spellStart"/>
      <w:r>
        <w:t>Козяков</w:t>
      </w:r>
      <w:proofErr w:type="spellEnd"/>
      <w:r>
        <w:t xml:space="preserve"> Алексей Викторович. Указанные сведения опубликованы в газете "Коммерсантъ" 02.04.2016 (N 56).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В рамках данного дела о банкротстве Закревский П.А. обратился в арбитражный суд с заявлением об исключении из конкурсной массы следующего имущества: квартиры площадью 147,6 кв. м, расположенной по адресу: </w:t>
      </w:r>
      <w:proofErr w:type="gramStart"/>
      <w:r>
        <w:t xml:space="preserve">Санкт-Петербург, </w:t>
      </w:r>
      <w:proofErr w:type="spellStart"/>
      <w:r>
        <w:t>Кирочная</w:t>
      </w:r>
      <w:proofErr w:type="spellEnd"/>
      <w:r>
        <w:t xml:space="preserve"> улица, дом 64, квартира 114, кадастровый номер 78:31:0111901:1246 (далее - квартира); стиральной машины MIELE (1 шт.); сушильной машины MIELE (1 шт.); телевизора LG (1 шт.); дивана; кресла; пуфа; кровати; набора кухонной мебели, комплекта мебели для спальни; тумбы для ванной (1 шт.); стола обеденного (1 шт.); стула (1 шт.);</w:t>
      </w:r>
      <w:proofErr w:type="gramEnd"/>
      <w:r>
        <w:t xml:space="preserve"> холодильника </w:t>
      </w:r>
      <w:proofErr w:type="spellStart"/>
      <w:r>
        <w:t>Liebherr</w:t>
      </w:r>
      <w:proofErr w:type="spellEnd"/>
      <w:r>
        <w:t xml:space="preserve"> (1 шт.); посудомоечной машины BOSCH (1 шт.); набора музыкальных колонок </w:t>
      </w:r>
      <w:proofErr w:type="spellStart"/>
      <w:r>
        <w:t>Klipsh</w:t>
      </w:r>
      <w:proofErr w:type="spellEnd"/>
      <w:r>
        <w:t>; тумбы под телевизор (1 шт.); журнального стола (1 шт.); книжного шкафа (1 шт.); рабочего стола (1 шт.); люстр (5 шт.).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Определением суда первой инстанции от 03.02.2017,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Тринадцатого арбитражного апелляционного суда от 23.05.2017, из конкурсной массы исключено следующее имущество: квартира, стиральная машина MIELE (1 шт.); сушильная машина MIELE (1 шт.); телевизор LG (1 шт.); диван; кресло; пуф; кровать; набор кухонной мебели, а именно: тумбы напольные и навесные;</w:t>
      </w:r>
      <w:proofErr w:type="gramEnd"/>
      <w:r>
        <w:t xml:space="preserve"> </w:t>
      </w:r>
      <w:proofErr w:type="gramStart"/>
      <w:r>
        <w:t xml:space="preserve">комплект мебели для спальни, а именно: комод (1 шт.) и прикроватная тумба (1 шт.); тумба для ванной (1 шт.); стол обеденный (1 шт.); холодильник </w:t>
      </w:r>
      <w:proofErr w:type="spellStart"/>
      <w:r>
        <w:t>Liebherr</w:t>
      </w:r>
      <w:proofErr w:type="spellEnd"/>
      <w:r>
        <w:t xml:space="preserve"> (1 шт.); посудомоечная машина BOSCH (1 шт.); тумба под телевизор (1 шт.); журнальный стол (1 шт.); книжный шкаф (1 шт.); рабочий стол (1 шт.); люстры (5 шт.).</w:t>
      </w:r>
      <w:proofErr w:type="gramEnd"/>
      <w:r>
        <w:t xml:space="preserve"> В удовлетворении остальной части требований судом отказано.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В кассационной жалобе конкурсный кредитор должника - общество с ограниченной ответственностью "Невская трубопроводная компания", место нахождения: 188477, Ленинградская область, </w:t>
      </w:r>
      <w:proofErr w:type="spellStart"/>
      <w:r>
        <w:t>Кингисеппский</w:t>
      </w:r>
      <w:proofErr w:type="spellEnd"/>
      <w:r>
        <w:t xml:space="preserve"> район, деревня </w:t>
      </w:r>
      <w:proofErr w:type="spellStart"/>
      <w:r>
        <w:t>Вистино</w:t>
      </w:r>
      <w:proofErr w:type="spellEnd"/>
      <w:r>
        <w:t xml:space="preserve">, морской торговый порт Усть-Луга, комплекс наливных грузов, терминал перевалки нефти, ОГРН 1104707000661, ИНН 4707029837 (далее - Общество), просит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от 23.05.2017 отменить, а резолютивную </w:t>
      </w:r>
      <w:r>
        <w:lastRenderedPageBreak/>
        <w:t>часть определения от 03.02.2017 изложить в новой редакции:</w:t>
      </w:r>
      <w:proofErr w:type="gramEnd"/>
      <w:r>
        <w:t xml:space="preserve"> </w:t>
      </w:r>
      <w:proofErr w:type="gramStart"/>
      <w:r>
        <w:t xml:space="preserve">"Исключить из конкурсной массы Закревского Павла Анатольевича следующее имущество: стиральная машина MIELE (1 шт.), телевизор LG (1 шт.), диван, кресло, кровать, тумба для ванной (1 шт.), стол обеденный (1 шт.), холодильник </w:t>
      </w:r>
      <w:proofErr w:type="spellStart"/>
      <w:r>
        <w:t>Liebherr</w:t>
      </w:r>
      <w:proofErr w:type="spellEnd"/>
      <w:r>
        <w:t xml:space="preserve"> (1 шт.), тумба под телевизор (1 шт.), стол обеденный (1 шт.), книжный шкаф (1 шт.), рабочий стол (1 шт.), люстры (5 шт.), набор кухонной мебели, а именно: тумбы</w:t>
      </w:r>
      <w:proofErr w:type="gramEnd"/>
      <w:r>
        <w:t xml:space="preserve"> напольные и навесные, комплект мебели для спальни, а именно: комод (1 шт.), прикроватная тумба (1 шт.). В удовлетворении остальной части заявленных требований отказать".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Податель жалобы не согласен с выводом судов первой и апелляционной инстанций о том, что спорная квартира является единственным пригодным для проживания должника и его членов семьи жилым помещением.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По мнению подателя жалобы, исключение имущества должника из конкурсной массы не должно приводить к соблюдению исключительно имущественных интересов должника в ущерб интересам кредиторов.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Податель жалобы указывает, что выбор должником в качестве единственного пригодного для проживания помещения квартиры, стоимость которой многократно превышает стоимость иного принадлежащего должнику недвижимого имущества - жилого дома общей площадью 162,5 кв. м, кадастровый номер: 47:22:0706001:124, расположенного в деревне Сосницы </w:t>
      </w:r>
      <w:proofErr w:type="spellStart"/>
      <w:r>
        <w:t>Волосовского</w:t>
      </w:r>
      <w:proofErr w:type="spellEnd"/>
      <w:r>
        <w:t xml:space="preserve"> района Ленинградской области (далее - жилой дом), является злоупотреблением правом со стороны Закревского П.А. и направлено на причинение</w:t>
      </w:r>
      <w:proofErr w:type="gramEnd"/>
      <w:r>
        <w:t xml:space="preserve"> вреда имущественным правам его кредиторов.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Податель жалобы указывает на наличие в материалах дела доказатель</w:t>
      </w:r>
      <w:proofErr w:type="gramStart"/>
      <w:r>
        <w:t>ств пр</w:t>
      </w:r>
      <w:proofErr w:type="gramEnd"/>
      <w:r>
        <w:t>инадлежности супруге должника Закревской Ларисе Васильевне жилых помещений, пригодных для проживания должника и членов его семьи.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Также Общество считает, что пуф, посудомоечная машина BOSCH (1 шт.), сушильная машина MIELE (1 шт.) и журнальный стол не относятся к предметам обычной домашней обстановки и обихода.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В отзыве на кассационную жалобу Закревский П.А. просит оставить принятые по делу судебные акты без изменения.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В судебном заседании представители Общества и общества с ограниченной ответственностью "</w:t>
      </w:r>
      <w:proofErr w:type="spellStart"/>
      <w:r>
        <w:t>Транснефть</w:t>
      </w:r>
      <w:proofErr w:type="spellEnd"/>
      <w:r>
        <w:t xml:space="preserve"> - Порт Усть-Луга" поддержали кассационную жалобу, против удовлетворения которой возражал представитель Закревского П.А.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Остальные участвующие в деле лица надлежащим образом извещены о времени и месте рассмотрения кассационной жалобы, однако представителей в судебное заседание не направили, что в соответствии с </w:t>
      </w:r>
      <w:hyperlink r:id="rId8" w:history="1">
        <w:r>
          <w:rPr>
            <w:color w:val="0000FF"/>
          </w:rPr>
          <w:t>частью 3 статьи 284</w:t>
        </w:r>
      </w:hyperlink>
      <w:r>
        <w:t xml:space="preserve"> Арбитражного процессуального кодекса Российской Федерации (далее - АПК РФ) не является препятствием для рассмотрения жалобы.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Законность обжалуемых судебных актов проверена в кассационном порядке.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>Согласно инвентаризационной описи от 12.09.2016 N 1, опубликованной временным управляющим должника в Единый федеральный реестр сведений о банкротстве 13.09.2016, в конкурсную массу должника включены жилой дом, квартира и иное движимое и недвижимое имущество.</w:t>
      </w:r>
      <w:proofErr w:type="gramEnd"/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Суд первой инстанции пришел </w:t>
      </w:r>
      <w:proofErr w:type="gramStart"/>
      <w:r>
        <w:t>к выводу о наличии достаточных оснований для удовлетворения заявления должника в части исключения из конкурсной массы</w:t>
      </w:r>
      <w:proofErr w:type="gramEnd"/>
      <w:r>
        <w:t xml:space="preserve"> квартиры и предметов домашнего обихода. При этом суд исходил из того, что квартира является единственным пригодным для постоянного проживания должника и членов его семьи помещением, а проживание указанных лиц в Ленинградской области исключает возможность </w:t>
      </w:r>
      <w:r>
        <w:lastRenderedPageBreak/>
        <w:t>обеспечения условий, необходимых для достойного существования.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Апелляционный суд поддержал означенные выводы.</w:t>
      </w:r>
    </w:p>
    <w:p w:rsidR="00520F8E" w:rsidRDefault="00520F8E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Проверив законность обжалуемых судебных актов и обоснованность доводов, приведенных в кассационной жалобе, Арбитражный суд Северо-Западного округа приходит к следующим выводам.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статьи 213.25</w:t>
        </w:r>
      </w:hyperlink>
      <w:r>
        <w:t xml:space="preserve"> Федерального закона от 26.10.2002 N 127-ФЗ "О несостоятельности (банкротстве)" (далее - Закон о банкротстве) все имущество гражданина, имеющееся на дату принятия решения арбитражного суда о признании гражданина банкротом, введении реализации имущества гражданина и выявленное или приобретенное после даты принятия указанного решения, составляет конкурсную массу, за исключением имущества, определенного </w:t>
      </w:r>
      <w:hyperlink r:id="rId10" w:history="1">
        <w:r>
          <w:rPr>
            <w:color w:val="0000FF"/>
          </w:rPr>
          <w:t>пунктом 3 указанной статьи</w:t>
        </w:r>
      </w:hyperlink>
      <w:r>
        <w:t>.</w:t>
      </w:r>
      <w:proofErr w:type="gramEnd"/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11" w:history="1">
        <w:r>
          <w:rPr>
            <w:color w:val="0000FF"/>
          </w:rPr>
          <w:t>пункта 3 статьи 213.25</w:t>
        </w:r>
      </w:hyperlink>
      <w:r>
        <w:t xml:space="preserve"> Закона о банкротстве из конкурсной массы исключается имущество, на которое не может быть обращено взыскание в соответствии с гражданским процессуальным законодательством (</w:t>
      </w:r>
      <w:hyperlink r:id="rId12" w:history="1">
        <w:r>
          <w:rPr>
            <w:color w:val="0000FF"/>
          </w:rPr>
          <w:t>статья 446</w:t>
        </w:r>
      </w:hyperlink>
      <w:r>
        <w:t xml:space="preserve"> Гражданского процессуального кодекса Российской Федерации (далее - ГПК РФ).</w:t>
      </w:r>
      <w:proofErr w:type="gramEnd"/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пункту 1 статьи 446</w:t>
        </w:r>
      </w:hyperlink>
      <w:r>
        <w:t xml:space="preserve"> ГПК РФ взыскание не может быть обращено на принадлежащее гражданину-должнику на праве собственности жилое помещение (его части), являющееся для должника и членов его семьи единственным пригодным для постоянного проживания помещением, за исключением предмета ипотеки; предметы обычной домашней обстановки и обихода.</w:t>
      </w:r>
      <w:proofErr w:type="gramEnd"/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Установленный положением </w:t>
      </w:r>
      <w:hyperlink r:id="rId14" w:history="1">
        <w:r>
          <w:rPr>
            <w:color w:val="0000FF"/>
          </w:rPr>
          <w:t>абзаца второго части первой статьи 446</w:t>
        </w:r>
      </w:hyperlink>
      <w:r>
        <w:t xml:space="preserve"> ГПК РФ имущественный (исполнительский) иммунитет в отношении принадлежащего гражданину-должнику на праве собственности жилого помещения (его частей) - в целях реализации конституционного принципа соразмерности при обеспечении защиты прав и законных интересов кредитора (взыскателя) и гражданина-должника как участников исполнительного производства - должен распространяться на жилое помещение, которое по своим объективным характеристикам (параметрам) является разумно достаточным для</w:t>
      </w:r>
      <w:proofErr w:type="gramEnd"/>
      <w:r>
        <w:t xml:space="preserve"> удовлетворения конституционно значимой потребности в жилище как необходимом средстве жизнеобеспечения (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14.05.2012 N 11-П).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Возражая против удовлетворения заявления должника, кредитор указал, что выбранный должником для проживания объект недвижимости по своим характеристикам явно превышает уровень, достаточный для удовлетворения разумной потребности гражданина-должника и членов его семьи в жилище.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Согласно произведенной финансовым управляющим </w:t>
      </w:r>
      <w:proofErr w:type="spellStart"/>
      <w:r>
        <w:t>Козяковым</w:t>
      </w:r>
      <w:proofErr w:type="spellEnd"/>
      <w:r>
        <w:t xml:space="preserve"> А.В. оценке имущества должника, стоимость квартиры составляет 20 873 635 руб., а стоимость жилого дома - 1 000 000 руб.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Брак между Закревским П.А. и Закревской Л.В. заключен 02.07.2008 (свидетельство о заключении брака от 02.07.2008 серии I-АК N 894662).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Согласно выпискам их Единого государственного реестра недвижимости от 10.03.2017 Закревской Л.В. принадлежат объекты недвижимого имущества, доли в праве собственности на которые приобретены ею после регистрации брака.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Доводам кредитора и представленным им доказательствам суды не дали надлежащей оценки.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Вывод суда первой инстанции о том, что проживание должника в Ленинградской области </w:t>
      </w:r>
      <w:r>
        <w:lastRenderedPageBreak/>
        <w:t>исключает возможность обеспечения условий, необходимых для достойного существования, не мотивирован в достаточной степени.</w:t>
      </w:r>
    </w:p>
    <w:p w:rsidR="00520F8E" w:rsidRDefault="00520F8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" w:history="1">
        <w:r>
          <w:rPr>
            <w:color w:val="0000FF"/>
          </w:rPr>
          <w:t>пункте 39</w:t>
        </w:r>
      </w:hyperlink>
      <w:r>
        <w:t xml:space="preserve"> постановления Пленума Верховного Суда Российской Федерации от 13.10.2015 N 45 "О некоторых вопросах, связанных с введением в действие процедур, применяемых в делах о несостоятельности (банкротстве) граждан" разъяснено, что при рассмотрении дел о банкротстве граждан, в том числе индивидуальных предпринимателей, суды должны учитывать необходимость обеспечения справедливого баланса между имущественными интересами кредиторов и личными правами должника (в том числе</w:t>
      </w:r>
      <w:proofErr w:type="gramEnd"/>
      <w:r>
        <w:t xml:space="preserve"> его правами на достойную жизнь и достоинство личности).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Данное обстоятельство судами не учтено. Принятыми по делу судебными актами соблюдены исключительно имущественные интересы Закревского П.А. в ущерб интересов его кредиторов.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Кроме того, выводы судов о том, что указанное в заявлении должника движимое имущество относится к числу минимально необходимых предметов обихода для целей удовлетворения повседневных бытовых потребностей гражданина в питании, отдыхе, лечении, гигиене, ничем не мотивированы.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При таком положении принятые по делу судебные акты следует отменить, а дело направить в суд первой инстанции на новое рассмотрение.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При новом рассмотрении дела суду следует учесть изложенное, установить фактические обстоятельства дела и имеющие для дела значение обстоятельства и принять решение в соответствии с действующим законодательством.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7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18" w:history="1">
        <w:r>
          <w:rPr>
            <w:color w:val="0000FF"/>
          </w:rPr>
          <w:t>287</w:t>
        </w:r>
      </w:hyperlink>
      <w:r>
        <w:t xml:space="preserve">, </w:t>
      </w:r>
      <w:hyperlink r:id="rId19" w:history="1">
        <w:r>
          <w:rPr>
            <w:color w:val="0000FF"/>
          </w:rPr>
          <w:t>288</w:t>
        </w:r>
      </w:hyperlink>
      <w:r>
        <w:t xml:space="preserve">, </w:t>
      </w:r>
      <w:hyperlink r:id="rId20" w:history="1">
        <w:r>
          <w:rPr>
            <w:color w:val="0000FF"/>
          </w:rPr>
          <w:t>289</w:t>
        </w:r>
      </w:hyperlink>
      <w:r>
        <w:t xml:space="preserve"> и </w:t>
      </w:r>
      <w:hyperlink r:id="rId21" w:history="1">
        <w:r>
          <w:rPr>
            <w:color w:val="0000FF"/>
          </w:rPr>
          <w:t>290</w:t>
        </w:r>
      </w:hyperlink>
      <w:r>
        <w:t xml:space="preserve"> Арбитражного процессуального кодекса Российской Федерации, Арбитражный суд Северо-Западного округа</w:t>
      </w:r>
    </w:p>
    <w:p w:rsidR="00520F8E" w:rsidRDefault="00520F8E">
      <w:pPr>
        <w:pStyle w:val="ConsPlusNormal"/>
        <w:jc w:val="center"/>
      </w:pPr>
    </w:p>
    <w:p w:rsidR="00520F8E" w:rsidRDefault="00520F8E">
      <w:pPr>
        <w:pStyle w:val="ConsPlusNormal"/>
        <w:jc w:val="center"/>
      </w:pPr>
      <w:r>
        <w:t>постановил:</w:t>
      </w:r>
    </w:p>
    <w:p w:rsidR="00520F8E" w:rsidRDefault="00520F8E">
      <w:pPr>
        <w:pStyle w:val="ConsPlusNormal"/>
        <w:jc w:val="center"/>
      </w:pPr>
    </w:p>
    <w:p w:rsidR="00520F8E" w:rsidRDefault="00520F8E">
      <w:pPr>
        <w:pStyle w:val="ConsPlusNormal"/>
        <w:ind w:firstLine="540"/>
        <w:jc w:val="both"/>
      </w:pPr>
      <w:r>
        <w:t xml:space="preserve">определение Арбитражного суда города Санкт-Петербурга и Ленинградской области от 03.02.2017 и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23.05.2017 по делу N А56-71357/2015 отменить.</w:t>
      </w:r>
    </w:p>
    <w:p w:rsidR="00520F8E" w:rsidRDefault="00520F8E">
      <w:pPr>
        <w:pStyle w:val="ConsPlusNormal"/>
        <w:spacing w:before="220"/>
        <w:ind w:firstLine="540"/>
        <w:jc w:val="both"/>
      </w:pPr>
      <w:r>
        <w:t>Дело направить на новое рассмотрение в Арбитражный суд города Санкт-Петербурга и Ленинградской области.</w:t>
      </w:r>
    </w:p>
    <w:p w:rsidR="00520F8E" w:rsidRDefault="00520F8E">
      <w:pPr>
        <w:pStyle w:val="ConsPlusNormal"/>
        <w:ind w:firstLine="540"/>
        <w:jc w:val="both"/>
      </w:pPr>
    </w:p>
    <w:p w:rsidR="00520F8E" w:rsidRDefault="00520F8E">
      <w:pPr>
        <w:pStyle w:val="ConsPlusNormal"/>
        <w:jc w:val="right"/>
      </w:pPr>
      <w:r>
        <w:t>Председательствующий</w:t>
      </w:r>
    </w:p>
    <w:p w:rsidR="00520F8E" w:rsidRDefault="00520F8E">
      <w:pPr>
        <w:pStyle w:val="ConsPlusNormal"/>
        <w:jc w:val="right"/>
      </w:pPr>
      <w:r>
        <w:t>М.В.ТРОХОВА</w:t>
      </w:r>
    </w:p>
    <w:p w:rsidR="00520F8E" w:rsidRDefault="00520F8E">
      <w:pPr>
        <w:pStyle w:val="ConsPlusNormal"/>
        <w:jc w:val="right"/>
      </w:pPr>
    </w:p>
    <w:p w:rsidR="00520F8E" w:rsidRDefault="00520F8E">
      <w:pPr>
        <w:pStyle w:val="ConsPlusNormal"/>
        <w:jc w:val="right"/>
      </w:pPr>
      <w:r>
        <w:t>Судьи</w:t>
      </w:r>
    </w:p>
    <w:p w:rsidR="00520F8E" w:rsidRDefault="00520F8E">
      <w:pPr>
        <w:pStyle w:val="ConsPlusNormal"/>
        <w:jc w:val="right"/>
      </w:pPr>
      <w:r>
        <w:t>С.Н.КОВАЛЕВ</w:t>
      </w:r>
    </w:p>
    <w:p w:rsidR="00520F8E" w:rsidRDefault="00520F8E">
      <w:pPr>
        <w:pStyle w:val="ConsPlusNormal"/>
        <w:jc w:val="right"/>
      </w:pPr>
      <w:r>
        <w:t>Т.В.КРАВЧЕНКО</w:t>
      </w:r>
    </w:p>
    <w:p w:rsidR="00520F8E" w:rsidRDefault="00520F8E">
      <w:pPr>
        <w:pStyle w:val="ConsPlusNormal"/>
        <w:ind w:firstLine="540"/>
        <w:jc w:val="both"/>
      </w:pPr>
    </w:p>
    <w:p w:rsidR="00520F8E" w:rsidRDefault="00520F8E">
      <w:pPr>
        <w:pStyle w:val="ConsPlusNormal"/>
        <w:ind w:firstLine="540"/>
        <w:jc w:val="both"/>
      </w:pPr>
    </w:p>
    <w:p w:rsidR="00520F8E" w:rsidRDefault="00520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84" w:rsidRDefault="00520F8E"/>
    <w:sectPr w:rsidR="00CA5C84" w:rsidSect="00A2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E"/>
    <w:rsid w:val="00520F8E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57CF6EBF6D125A207D67561ADBE21BFE34BCD40B4D1BA00FC11FFB2C9C4E9C06C3E7A24088E07o230P" TargetMode="External"/><Relationship Id="rId13" Type="http://schemas.openxmlformats.org/officeDocument/2006/relationships/hyperlink" Target="consultantplus://offline/ref=1A557CF6EBF6D125A207D67561ADBE21BFE34BCF45B4D1BA00FC11FFB2C9C4E9C06C3E7A240B8701o23BP" TargetMode="External"/><Relationship Id="rId18" Type="http://schemas.openxmlformats.org/officeDocument/2006/relationships/hyperlink" Target="consultantplus://offline/ref=1A557CF6EBF6D125A207D67561ADBE21BFE34BCD40B4D1BA00FC11FFB2C9C4E9C06C3E7A24088E08o23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57CF6EBF6D125A207D67561ADBE21BFE34BCD40B4D1BA00FC11FFB2C9C4E9C06C3E7926o031P" TargetMode="External"/><Relationship Id="rId7" Type="http://schemas.openxmlformats.org/officeDocument/2006/relationships/hyperlink" Target="consultantplus://offline/ref=1A557CF6EBF6D125A207C87566C5E02DBEEA14C446B6DAE85BAF17A8ED99C2BC80o23CP" TargetMode="External"/><Relationship Id="rId12" Type="http://schemas.openxmlformats.org/officeDocument/2006/relationships/hyperlink" Target="consultantplus://offline/ref=1A557CF6EBF6D125A207D67561ADBE21BFE34BCF45B4D1BA00FC11FFB2C9C4E9C06C3E7A240B8701o238P" TargetMode="External"/><Relationship Id="rId17" Type="http://schemas.openxmlformats.org/officeDocument/2006/relationships/hyperlink" Target="consultantplus://offline/ref=1A557CF6EBF6D125A207D67561ADBE21BFE34BCD40B4D1BA00FC11FFB2C9C4E9C06C3E7A24088E08o23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557CF6EBF6D125A207D67561ADBE21BCE94DCA41B0D1BA00FC11FFB2C9C4E9C06C3E7A24098608o231P" TargetMode="External"/><Relationship Id="rId20" Type="http://schemas.openxmlformats.org/officeDocument/2006/relationships/hyperlink" Target="consultantplus://offline/ref=1A557CF6EBF6D125A207D67561ADBE21BFE34BCD40B4D1BA00FC11FFB2C9C4E9C06C3E7A24088F01o23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57CF6EBF6D125A207C87566C5E02DBEEA14C446B6DAE85BAF17A8ED99C2BC80o23CP" TargetMode="External"/><Relationship Id="rId11" Type="http://schemas.openxmlformats.org/officeDocument/2006/relationships/hyperlink" Target="consultantplus://offline/ref=1A557CF6EBF6D125A207D67561ADBE21BCE949C841B6D1BA00FC11FFB2C9C4E9C06C3E7E230Do833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A557CF6EBF6D125A207C87566C5E02DBEEA14C446B6DAE85BAF17A8ED99C2BC80o23CP" TargetMode="External"/><Relationship Id="rId15" Type="http://schemas.openxmlformats.org/officeDocument/2006/relationships/hyperlink" Target="consultantplus://offline/ref=1A557CF6EBF6D125A207D67561ADBE21BCE343C146B7D1BA00FC11FFB2oC39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557CF6EBF6D125A207D67561ADBE21BCE949C841B6D1BA00FC11FFB2C9C4E9C06C3E7E230Do833P" TargetMode="External"/><Relationship Id="rId19" Type="http://schemas.openxmlformats.org/officeDocument/2006/relationships/hyperlink" Target="consultantplus://offline/ref=1A557CF6EBF6D125A207D67561ADBE21BFE34BCD40B4D1BA00FC11FFB2C9C4E9C06C3E7A2401o83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57CF6EBF6D125A207D67561ADBE21BCE949C841B6D1BA00FC11FFB2C9C4E9C06C3E7E230Do834P" TargetMode="External"/><Relationship Id="rId14" Type="http://schemas.openxmlformats.org/officeDocument/2006/relationships/hyperlink" Target="consultantplus://offline/ref=1A557CF6EBF6D125A207D67561ADBE21BFE34BCF45B4D1BA00FC11FFB2C9C4E9C06C3E7A240B8708o23DP" TargetMode="External"/><Relationship Id="rId22" Type="http://schemas.openxmlformats.org/officeDocument/2006/relationships/hyperlink" Target="consultantplus://offline/ref=1A557CF6EBF6D125A207C87566C5E02DBEEA14C446B6DAE85BAF17A8ED99C2BC80o23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2019-02-27T15:55:00Z</dcterms:created>
  <dcterms:modified xsi:type="dcterms:W3CDTF">2019-02-27T15:56:00Z</dcterms:modified>
</cp:coreProperties>
</file>